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spacing w:before="0" w:after="0" w:line="276" w:lineRule="auto"/>
        <w:ind w:left="0" w:right="23" w:firstLine="0" w:firstLineChars="0"/>
        <w:rPr>
          <w:rFonts w:ascii="宋体" w:hAnsi="宋体"/>
          <w:b/>
          <w:spacing w:val="20"/>
          <w:sz w:val="21"/>
          <w:szCs w:val="21"/>
        </w:rPr>
      </w:pPr>
      <w:r>
        <w:rPr>
          <w:rFonts w:hint="eastAsia" w:ascii="宋体" w:hAnsi="宋体"/>
          <w:b/>
          <w:spacing w:val="20"/>
          <w:sz w:val="21"/>
          <w:szCs w:val="21"/>
        </w:rPr>
        <w:t>附件</w:t>
      </w:r>
      <w:r>
        <w:rPr>
          <w:rFonts w:ascii="宋体" w:hAnsi="宋体"/>
          <w:b/>
          <w:spacing w:val="20"/>
          <w:sz w:val="21"/>
          <w:szCs w:val="21"/>
        </w:rPr>
        <w:t>5</w:t>
      </w: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r>
        <w:rPr>
          <w:rFonts w:hint="eastAsia" w:ascii="宋体" w:hAnsi="宋体"/>
          <w:b/>
          <w:spacing w:val="20"/>
          <w:sz w:val="44"/>
          <w:szCs w:val="44"/>
        </w:rPr>
        <w:t xml:space="preserve">  工程规范和技术要求</w:t>
      </w: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pStyle w:val="44"/>
        <w:spacing w:before="0" w:after="0" w:line="276" w:lineRule="auto"/>
        <w:ind w:left="0" w:right="23" w:firstLine="0" w:firstLineChars="0"/>
        <w:jc w:val="center"/>
        <w:rPr>
          <w:rFonts w:ascii="宋体" w:hAnsi="宋体"/>
          <w:b/>
          <w:spacing w:val="20"/>
          <w:sz w:val="44"/>
          <w:szCs w:val="44"/>
        </w:rPr>
      </w:pPr>
    </w:p>
    <w:p>
      <w:pPr>
        <w:spacing w:line="276" w:lineRule="auto"/>
        <w:jc w:val="center"/>
        <w:rPr>
          <w:rFonts w:ascii="宋体" w:hAnsi="宋体"/>
          <w:b/>
          <w:sz w:val="32"/>
          <w:szCs w:val="32"/>
          <w:lang w:val="zh-CN"/>
        </w:rPr>
      </w:pPr>
      <w:r>
        <w:rPr>
          <w:rFonts w:ascii="宋体" w:hAnsi="宋体"/>
          <w:b/>
          <w:sz w:val="32"/>
          <w:szCs w:val="32"/>
          <w:lang w:val="zh-CN"/>
        </w:rPr>
        <w:t>目</w:t>
      </w:r>
      <w:r>
        <w:rPr>
          <w:rFonts w:hint="eastAsia" w:ascii="宋体" w:hAnsi="宋体"/>
          <w:b/>
          <w:sz w:val="32"/>
          <w:szCs w:val="32"/>
          <w:lang w:val="zh-CN"/>
        </w:rPr>
        <w:t xml:space="preserve">   </w:t>
      </w:r>
      <w:r>
        <w:rPr>
          <w:rFonts w:ascii="宋体" w:hAnsi="宋体"/>
          <w:b/>
          <w:sz w:val="32"/>
          <w:szCs w:val="32"/>
          <w:lang w:val="zh-CN"/>
        </w:rPr>
        <w:t>录</w:t>
      </w:r>
    </w:p>
    <w:p>
      <w:pPr>
        <w:spacing w:line="276" w:lineRule="auto"/>
        <w:jc w:val="center"/>
        <w:rPr>
          <w:rFonts w:ascii="宋体" w:hAnsi="宋体"/>
          <w:b/>
          <w:sz w:val="10"/>
          <w:szCs w:val="10"/>
        </w:rPr>
      </w:pPr>
    </w:p>
    <w:p>
      <w:pPr>
        <w:pStyle w:val="17"/>
        <w:rPr>
          <w:rFonts w:asciiTheme="minorHAnsi" w:hAnsiTheme="minorHAnsi" w:eastAsiaTheme="minorEastAsia" w:cstheme="minorBidi"/>
          <w:b w:val="0"/>
          <w:color w:val="auto"/>
          <w:sz w:val="21"/>
          <w:szCs w:val="22"/>
        </w:rPr>
      </w:pPr>
      <w:r>
        <w:rPr>
          <w:color w:val="auto"/>
          <w:sz w:val="21"/>
        </w:rPr>
        <w:fldChar w:fldCharType="begin"/>
      </w:r>
      <w:r>
        <w:rPr>
          <w:color w:val="auto"/>
          <w:sz w:val="21"/>
        </w:rPr>
        <w:instrText xml:space="preserve"> TOC \o "1-3" \h \z \u </w:instrText>
      </w:r>
      <w:r>
        <w:rPr>
          <w:color w:val="auto"/>
          <w:sz w:val="21"/>
        </w:rPr>
        <w:fldChar w:fldCharType="separate"/>
      </w:r>
      <w:r>
        <w:fldChar w:fldCharType="begin"/>
      </w:r>
      <w:r>
        <w:instrText xml:space="preserve"> HYPERLINK \l "_Toc144459612" </w:instrText>
      </w:r>
      <w:r>
        <w:fldChar w:fldCharType="separate"/>
      </w:r>
      <w:r>
        <w:rPr>
          <w:rStyle w:val="26"/>
        </w:rPr>
        <w:t>1.  项目概况和说明</w:t>
      </w:r>
      <w:r>
        <w:tab/>
      </w:r>
      <w:r>
        <w:fldChar w:fldCharType="begin"/>
      </w:r>
      <w:r>
        <w:instrText xml:space="preserve"> PAGEREF _Toc144459612 \h </w:instrText>
      </w:r>
      <w:r>
        <w:fldChar w:fldCharType="separate"/>
      </w:r>
      <w:r>
        <w:t>1</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"_Toc144459613" </w:instrText>
      </w:r>
      <w:r>
        <w:fldChar w:fldCharType="separate"/>
      </w:r>
      <w:r>
        <w:rPr>
          <w:rStyle w:val="26"/>
          <w:rFonts w:ascii="宋体" w:hAnsi="宋体"/>
        </w:rPr>
        <w:t>1.1  工程建设地点的现场自然条件</w:t>
      </w:r>
      <w:r>
        <w:tab/>
      </w:r>
      <w:r>
        <w:fldChar w:fldCharType="begin"/>
      </w:r>
      <w:r>
        <w:instrText xml:space="preserve"> PAGEREF _Toc144459613 \h </w:instrText>
      </w:r>
      <w:r>
        <w:fldChar w:fldCharType="separate"/>
      </w:r>
      <w:r>
        <w:t>1</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"_Toc144459614" </w:instrText>
      </w:r>
      <w:r>
        <w:fldChar w:fldCharType="separate"/>
      </w:r>
      <w:r>
        <w:rPr>
          <w:rStyle w:val="26"/>
          <w:rFonts w:ascii="宋体" w:hAnsi="宋体"/>
        </w:rPr>
        <w:t>1.2  工程建设地点的现场施工条件</w:t>
      </w:r>
      <w:r>
        <w:tab/>
      </w:r>
      <w:r>
        <w:fldChar w:fldCharType="begin"/>
      </w:r>
      <w:r>
        <w:instrText xml:space="preserve"> PAGEREF _Toc144459614 \h </w:instrText>
      </w:r>
      <w:r>
        <w:fldChar w:fldCharType="separate"/>
      </w:r>
      <w:r>
        <w:t>1</w:t>
      </w:r>
      <w:r>
        <w:fldChar w:fldCharType="end"/>
      </w:r>
      <w:r>
        <w:fldChar w:fldCharType="end"/>
      </w:r>
    </w:p>
    <w:p>
      <w:pPr>
        <w:pStyle w:val="17"/>
        <w:rPr>
          <w:rFonts w:asciiTheme="minorHAnsi" w:hAnsiTheme="minorHAnsi" w:eastAsiaTheme="minorEastAsia" w:cstheme="minorBidi"/>
          <w:b w:val="0"/>
          <w:color w:val="auto"/>
          <w:sz w:val="21"/>
          <w:szCs w:val="22"/>
        </w:rPr>
      </w:pPr>
      <w:r>
        <w:fldChar w:fldCharType="begin"/>
      </w:r>
      <w:r>
        <w:instrText xml:space="preserve"> HYPERLINK \l "_Toc144459615" </w:instrText>
      </w:r>
      <w:r>
        <w:fldChar w:fldCharType="separate"/>
      </w:r>
      <w:r>
        <w:rPr>
          <w:rStyle w:val="26"/>
        </w:rPr>
        <w:t>2.  工期要求</w:t>
      </w:r>
      <w:r>
        <w:tab/>
      </w:r>
      <w:r>
        <w:fldChar w:fldCharType="begin"/>
      </w:r>
      <w:r>
        <w:instrText xml:space="preserve"> PAGEREF _Toc144459615 \h </w:instrText>
      </w:r>
      <w:r>
        <w:fldChar w:fldCharType="separate"/>
      </w:r>
      <w:r>
        <w:t>2</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"_Toc144459616" </w:instrText>
      </w:r>
      <w:r>
        <w:fldChar w:fldCharType="separate"/>
      </w:r>
      <w:r>
        <w:rPr>
          <w:rStyle w:val="26"/>
          <w:rFonts w:ascii="宋体" w:hAnsi="宋体"/>
        </w:rPr>
        <w:t>2.1  开工日期</w:t>
      </w:r>
      <w:r>
        <w:tab/>
      </w:r>
      <w:r>
        <w:fldChar w:fldCharType="begin"/>
      </w:r>
      <w:r>
        <w:instrText xml:space="preserve"> PAGEREF _Toc144459616 \h </w:instrText>
      </w:r>
      <w:r>
        <w:fldChar w:fldCharType="separate"/>
      </w:r>
      <w:r>
        <w:t>2</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"_Toc144459617" </w:instrText>
      </w:r>
      <w:r>
        <w:fldChar w:fldCharType="separate"/>
      </w:r>
      <w:r>
        <w:rPr>
          <w:rStyle w:val="26"/>
          <w:rFonts w:ascii="宋体" w:hAnsi="宋体"/>
        </w:rPr>
        <w:t>2.2  竣工日期</w:t>
      </w:r>
      <w:r>
        <w:tab/>
      </w:r>
      <w:r>
        <w:fldChar w:fldCharType="begin"/>
      </w:r>
      <w:r>
        <w:instrText xml:space="preserve"> PAGEREF _Toc144459617 \h </w:instrText>
      </w:r>
      <w:r>
        <w:fldChar w:fldCharType="separate"/>
      </w:r>
      <w:r>
        <w:t>2</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"_Toc144459618" </w:instrText>
      </w:r>
      <w:r>
        <w:fldChar w:fldCharType="separate"/>
      </w:r>
      <w:r>
        <w:rPr>
          <w:rStyle w:val="26"/>
          <w:rFonts w:ascii="宋体" w:hAnsi="宋体"/>
        </w:rPr>
        <w:t>2.3  施工关键工期节点要求</w:t>
      </w:r>
      <w:r>
        <w:tab/>
      </w:r>
      <w:r>
        <w:fldChar w:fldCharType="begin"/>
      </w:r>
      <w:r>
        <w:instrText xml:space="preserve"> PAGEREF _Toc144459618 \h </w:instrText>
      </w:r>
      <w:r>
        <w:fldChar w:fldCharType="separate"/>
      </w:r>
      <w:r>
        <w:t>2</w:t>
      </w:r>
      <w:r>
        <w:fldChar w:fldCharType="end"/>
      </w:r>
      <w:r>
        <w:fldChar w:fldCharType="end"/>
      </w:r>
    </w:p>
    <w:p>
      <w:pPr>
        <w:pStyle w:val="17"/>
        <w:rPr>
          <w:rFonts w:asciiTheme="minorHAnsi" w:hAnsiTheme="minorHAnsi" w:eastAsiaTheme="minorEastAsia" w:cstheme="minorBidi"/>
          <w:b w:val="0"/>
          <w:color w:val="auto"/>
          <w:sz w:val="21"/>
          <w:szCs w:val="22"/>
        </w:rPr>
      </w:pPr>
      <w:r>
        <w:fldChar w:fldCharType="begin"/>
      </w:r>
      <w:r>
        <w:instrText xml:space="preserve"> HYPERLINK \l "_Toc144459619" </w:instrText>
      </w:r>
      <w:r>
        <w:fldChar w:fldCharType="separate"/>
      </w:r>
      <w:r>
        <w:rPr>
          <w:rStyle w:val="26"/>
        </w:rPr>
        <w:t>3.  质量标准</w:t>
      </w:r>
      <w:r>
        <w:tab/>
      </w:r>
      <w:r>
        <w:fldChar w:fldCharType="begin"/>
      </w:r>
      <w:r>
        <w:instrText xml:space="preserve"> PAGEREF _Toc144459619 \h </w:instrText>
      </w:r>
      <w:r>
        <w:fldChar w:fldCharType="separate"/>
      </w:r>
      <w:r>
        <w:t>6</w:t>
      </w:r>
      <w:r>
        <w:fldChar w:fldCharType="end"/>
      </w:r>
      <w:r>
        <w:fldChar w:fldCharType="end"/>
      </w:r>
    </w:p>
    <w:p>
      <w:pPr>
        <w:pStyle w:val="17"/>
        <w:rPr>
          <w:rFonts w:asciiTheme="minorHAnsi" w:hAnsiTheme="minorHAnsi" w:eastAsiaTheme="minorEastAsia" w:cstheme="minorBidi"/>
          <w:b w:val="0"/>
          <w:color w:val="auto"/>
          <w:sz w:val="21"/>
          <w:szCs w:val="22"/>
        </w:rPr>
      </w:pPr>
      <w:r>
        <w:fldChar w:fldCharType="begin"/>
      </w:r>
      <w:r>
        <w:instrText xml:space="preserve"> HYPERLINK \l "_Toc144459620" </w:instrText>
      </w:r>
      <w:r>
        <w:fldChar w:fldCharType="separate"/>
      </w:r>
      <w:r>
        <w:rPr>
          <w:rStyle w:val="26"/>
        </w:rPr>
        <w:t>4.  施工措施项目</w:t>
      </w:r>
      <w:r>
        <w:tab/>
      </w:r>
      <w:r>
        <w:fldChar w:fldCharType="begin"/>
      </w:r>
      <w:r>
        <w:instrText xml:space="preserve"> PAGEREF _Toc144459620 \h </w:instrText>
      </w:r>
      <w:r>
        <w:fldChar w:fldCharType="separate"/>
      </w:r>
      <w:r>
        <w:t>6</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"_Toc144459621" </w:instrText>
      </w:r>
      <w:r>
        <w:fldChar w:fldCharType="separate"/>
      </w:r>
      <w:r>
        <w:rPr>
          <w:rStyle w:val="26"/>
          <w:rFonts w:ascii="宋体" w:hAnsi="宋体"/>
        </w:rPr>
        <w:t>4.1  临时设施</w:t>
      </w:r>
      <w:r>
        <w:tab/>
      </w:r>
      <w:r>
        <w:fldChar w:fldCharType="begin"/>
      </w:r>
      <w:r>
        <w:instrText xml:space="preserve"> PAGEREF _Toc144459621 \h </w:instrText>
      </w:r>
      <w:r>
        <w:fldChar w:fldCharType="separate"/>
      </w:r>
      <w:r>
        <w:t>6</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"_Toc144459622" </w:instrText>
      </w:r>
      <w:r>
        <w:fldChar w:fldCharType="separate"/>
      </w:r>
      <w:r>
        <w:rPr>
          <w:rStyle w:val="26"/>
          <w:rFonts w:ascii="宋体" w:hAnsi="宋体"/>
        </w:rPr>
        <w:t>4.2  脚手架、施工机械</w:t>
      </w:r>
      <w:r>
        <w:tab/>
      </w:r>
      <w:r>
        <w:fldChar w:fldCharType="begin"/>
      </w:r>
      <w:r>
        <w:instrText xml:space="preserve"> PAGEREF _Toc144459622 \h </w:instrText>
      </w:r>
      <w:r>
        <w:fldChar w:fldCharType="separate"/>
      </w:r>
      <w:r>
        <w:t>10</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"_Toc144459623" </w:instrText>
      </w:r>
      <w:r>
        <w:fldChar w:fldCharType="separate"/>
      </w:r>
      <w:r>
        <w:rPr>
          <w:rStyle w:val="26"/>
          <w:rFonts w:ascii="宋体" w:hAnsi="宋体"/>
        </w:rPr>
        <w:t>4.3  混凝土、钢筋混凝土模板及临边围护</w:t>
      </w:r>
      <w:r>
        <w:tab/>
      </w:r>
      <w:r>
        <w:fldChar w:fldCharType="begin"/>
      </w:r>
      <w:r>
        <w:instrText xml:space="preserve"> PAGEREF _Toc144459623 \h </w:instrText>
      </w:r>
      <w:r>
        <w:fldChar w:fldCharType="separate"/>
      </w:r>
      <w:r>
        <w:t>11</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"_Toc144459624" </w:instrText>
      </w:r>
      <w:r>
        <w:fldChar w:fldCharType="separate"/>
      </w:r>
      <w:r>
        <w:rPr>
          <w:rStyle w:val="26"/>
          <w:rFonts w:ascii="宋体" w:hAnsi="宋体"/>
        </w:rPr>
        <w:t>4.4  安全、文明施工</w:t>
      </w:r>
      <w:r>
        <w:tab/>
      </w:r>
      <w:r>
        <w:fldChar w:fldCharType="begin"/>
      </w:r>
      <w:r>
        <w:instrText xml:space="preserve"> PAGEREF _Toc144459624 \h </w:instrText>
      </w:r>
      <w:r>
        <w:fldChar w:fldCharType="separate"/>
      </w:r>
      <w:r>
        <w:t>11</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"_Toc144459625" </w:instrText>
      </w:r>
      <w:r>
        <w:fldChar w:fldCharType="separate"/>
      </w:r>
      <w:r>
        <w:rPr>
          <w:rStyle w:val="26"/>
          <w:rFonts w:ascii="宋体" w:hAnsi="宋体"/>
        </w:rPr>
        <w:t>4.5  施工排水、降水</w:t>
      </w:r>
      <w:r>
        <w:tab/>
      </w:r>
      <w:r>
        <w:fldChar w:fldCharType="begin"/>
      </w:r>
      <w:r>
        <w:instrText xml:space="preserve"> PAGEREF _Toc144459625 \h </w:instrText>
      </w:r>
      <w:r>
        <w:fldChar w:fldCharType="separate"/>
      </w:r>
      <w:r>
        <w:t>14</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"_Toc144459626" </w:instrText>
      </w:r>
      <w:r>
        <w:fldChar w:fldCharType="separate"/>
      </w:r>
      <w:r>
        <w:rPr>
          <w:rStyle w:val="26"/>
          <w:rFonts w:ascii="宋体" w:hAnsi="宋体"/>
        </w:rPr>
        <w:t>4.6  环境保护</w:t>
      </w:r>
      <w:r>
        <w:tab/>
      </w:r>
      <w:r>
        <w:fldChar w:fldCharType="begin"/>
      </w:r>
      <w:r>
        <w:instrText xml:space="preserve"> PAGEREF _Toc144459626 \h </w:instrText>
      </w:r>
      <w:r>
        <w:fldChar w:fldCharType="separate"/>
      </w:r>
      <w:r>
        <w:t>14</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"_Toc144459627" </w:instrText>
      </w:r>
      <w:r>
        <w:fldChar w:fldCharType="separate"/>
      </w:r>
      <w:r>
        <w:rPr>
          <w:rStyle w:val="26"/>
          <w:rFonts w:ascii="宋体" w:hAnsi="宋体"/>
        </w:rPr>
        <w:t>4.7  已完工程及材料保护，淋、闭水试验及设备保护</w:t>
      </w:r>
      <w:r>
        <w:tab/>
      </w:r>
      <w:r>
        <w:fldChar w:fldCharType="begin"/>
      </w:r>
      <w:r>
        <w:instrText xml:space="preserve"> PAGEREF _Toc144459627 \h </w:instrText>
      </w:r>
      <w:r>
        <w:fldChar w:fldCharType="separate"/>
      </w:r>
      <w:r>
        <w:t>15</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"_Toc144459628" </w:instrText>
      </w:r>
      <w:r>
        <w:fldChar w:fldCharType="separate"/>
      </w:r>
      <w:r>
        <w:rPr>
          <w:rStyle w:val="26"/>
          <w:rFonts w:ascii="宋体" w:hAnsi="宋体"/>
        </w:rPr>
        <w:t>4.8  销售配合工作</w:t>
      </w:r>
      <w:r>
        <w:tab/>
      </w:r>
      <w:r>
        <w:fldChar w:fldCharType="begin"/>
      </w:r>
      <w:r>
        <w:instrText xml:space="preserve"> PAGEREF _Toc144459628 \h </w:instrText>
      </w:r>
      <w:r>
        <w:fldChar w:fldCharType="separate"/>
      </w:r>
      <w:r>
        <w:t>15</w:t>
      </w:r>
      <w:r>
        <w:fldChar w:fldCharType="end"/>
      </w:r>
      <w:r>
        <w:fldChar w:fldCharType="end"/>
      </w:r>
    </w:p>
    <w:p>
      <w:pPr>
        <w:pStyle w:val="17"/>
        <w:rPr>
          <w:rFonts w:asciiTheme="minorHAnsi" w:hAnsiTheme="minorHAnsi" w:eastAsiaTheme="minorEastAsia" w:cstheme="minorBidi"/>
          <w:b w:val="0"/>
          <w:color w:val="auto"/>
          <w:sz w:val="21"/>
          <w:szCs w:val="22"/>
        </w:rPr>
      </w:pPr>
      <w:r>
        <w:fldChar w:fldCharType="begin"/>
      </w:r>
      <w:r>
        <w:instrText xml:space="preserve"> HYPERLINK \l "_Toc144459629" </w:instrText>
      </w:r>
      <w:r>
        <w:fldChar w:fldCharType="separate"/>
      </w:r>
      <w:r>
        <w:rPr>
          <w:rStyle w:val="26"/>
        </w:rPr>
        <w:t>5.  承包人工程承包范围及界面分判</w:t>
      </w:r>
      <w:r>
        <w:tab/>
      </w:r>
      <w:r>
        <w:fldChar w:fldCharType="begin"/>
      </w:r>
      <w:r>
        <w:instrText xml:space="preserve"> PAGEREF _Toc144459629 \h </w:instrText>
      </w:r>
      <w:r>
        <w:fldChar w:fldCharType="separate"/>
      </w:r>
      <w:r>
        <w:t>15</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"_Toc144459630" </w:instrText>
      </w:r>
      <w:r>
        <w:fldChar w:fldCharType="separate"/>
      </w:r>
      <w:r>
        <w:rPr>
          <w:rStyle w:val="26"/>
          <w:rFonts w:ascii="宋体" w:hAnsi="宋体"/>
        </w:rPr>
        <w:t>5.1  工程承包范围</w:t>
      </w:r>
      <w:r>
        <w:tab/>
      </w:r>
      <w:r>
        <w:fldChar w:fldCharType="begin"/>
      </w:r>
      <w:r>
        <w:instrText xml:space="preserve"> PAGEREF _Toc144459630 \h </w:instrText>
      </w:r>
      <w:r>
        <w:fldChar w:fldCharType="separate"/>
      </w:r>
      <w:r>
        <w:t>15</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"_Toc144459631" </w:instrText>
      </w:r>
      <w:r>
        <w:fldChar w:fldCharType="separate"/>
      </w:r>
      <w:r>
        <w:rPr>
          <w:rStyle w:val="26"/>
          <w:rFonts w:ascii="宋体" w:hAnsi="宋体"/>
        </w:rPr>
        <w:t>5.2  工程界面划分</w:t>
      </w:r>
      <w:r>
        <w:tab/>
      </w:r>
      <w:r>
        <w:fldChar w:fldCharType="begin"/>
      </w:r>
      <w:r>
        <w:instrText xml:space="preserve"> PAGEREF _Toc144459631 \h </w:instrText>
      </w:r>
      <w:r>
        <w:fldChar w:fldCharType="separate"/>
      </w:r>
      <w:r>
        <w:t>16</w:t>
      </w:r>
      <w:r>
        <w:fldChar w:fldCharType="end"/>
      </w:r>
      <w:r>
        <w:fldChar w:fldCharType="end"/>
      </w:r>
    </w:p>
    <w:p>
      <w:pPr>
        <w:pStyle w:val="17"/>
        <w:rPr>
          <w:rFonts w:asciiTheme="minorHAnsi" w:hAnsiTheme="minorHAnsi" w:eastAsiaTheme="minorEastAsia" w:cstheme="minorBidi"/>
          <w:b w:val="0"/>
          <w:color w:val="auto"/>
          <w:sz w:val="21"/>
          <w:szCs w:val="22"/>
        </w:rPr>
      </w:pPr>
      <w:r>
        <w:fldChar w:fldCharType="begin"/>
      </w:r>
      <w:r>
        <w:instrText xml:space="preserve"> HYPERLINK \l "_Toc144459632" </w:instrText>
      </w:r>
      <w:r>
        <w:fldChar w:fldCharType="separate"/>
      </w:r>
      <w:r>
        <w:rPr>
          <w:rStyle w:val="26"/>
        </w:rPr>
        <w:t>6.  材料供应（采购）方式</w:t>
      </w:r>
      <w:r>
        <w:tab/>
      </w:r>
      <w:r>
        <w:fldChar w:fldCharType="begin"/>
      </w:r>
      <w:r>
        <w:instrText xml:space="preserve"> PAGEREF _Toc144459632 \h </w:instrText>
      </w:r>
      <w:r>
        <w:fldChar w:fldCharType="separate"/>
      </w:r>
      <w:r>
        <w:t>19</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"_Toc144459633" </w:instrText>
      </w:r>
      <w:r>
        <w:fldChar w:fldCharType="separate"/>
      </w:r>
      <w:r>
        <w:rPr>
          <w:rStyle w:val="26"/>
          <w:rFonts w:ascii="宋体" w:hAnsi="宋体"/>
        </w:rPr>
        <w:t>6.1  技术要求</w:t>
      </w:r>
      <w:r>
        <w:tab/>
      </w:r>
      <w:r>
        <w:fldChar w:fldCharType="begin"/>
      </w:r>
      <w:r>
        <w:instrText xml:space="preserve"> PAGEREF _Toc144459633 \h </w:instrText>
      </w:r>
      <w:r>
        <w:fldChar w:fldCharType="separate"/>
      </w:r>
      <w:r>
        <w:t>19</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"_Toc144459634" </w:instrText>
      </w:r>
      <w:r>
        <w:fldChar w:fldCharType="separate"/>
      </w:r>
      <w:r>
        <w:rPr>
          <w:rStyle w:val="26"/>
          <w:rFonts w:ascii="宋体" w:hAnsi="宋体"/>
        </w:rPr>
        <w:t>6.2  质量要求</w:t>
      </w:r>
      <w:r>
        <w:tab/>
      </w:r>
      <w:r>
        <w:fldChar w:fldCharType="begin"/>
      </w:r>
      <w:r>
        <w:instrText xml:space="preserve"> PAGEREF _Toc144459634 \h </w:instrText>
      </w:r>
      <w:r>
        <w:fldChar w:fldCharType="separate"/>
      </w:r>
      <w:r>
        <w:t>19</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"_Toc144459635" </w:instrText>
      </w:r>
      <w:r>
        <w:fldChar w:fldCharType="separate"/>
      </w:r>
      <w:r>
        <w:rPr>
          <w:rStyle w:val="26"/>
          <w:rFonts w:ascii="宋体" w:hAnsi="宋体"/>
        </w:rPr>
        <w:t>6.3  参考品牌</w:t>
      </w:r>
      <w:r>
        <w:tab/>
      </w:r>
      <w:r>
        <w:fldChar w:fldCharType="begin"/>
      </w:r>
      <w:r>
        <w:instrText xml:space="preserve"> PAGEREF _Toc144459635 \h </w:instrText>
      </w:r>
      <w:r>
        <w:fldChar w:fldCharType="separate"/>
      </w:r>
      <w:r>
        <w:t>19</w:t>
      </w:r>
      <w:r>
        <w:fldChar w:fldCharType="end"/>
      </w:r>
      <w:r>
        <w:fldChar w:fldCharType="end"/>
      </w:r>
    </w:p>
    <w:p>
      <w:pPr>
        <w:pStyle w:val="17"/>
        <w:rPr>
          <w:rFonts w:asciiTheme="minorHAnsi" w:hAnsiTheme="minorHAnsi" w:eastAsiaTheme="minorEastAsia" w:cstheme="minorBidi"/>
          <w:b w:val="0"/>
          <w:color w:val="auto"/>
          <w:sz w:val="21"/>
          <w:szCs w:val="22"/>
        </w:rPr>
      </w:pPr>
      <w:r>
        <w:fldChar w:fldCharType="begin"/>
      </w:r>
      <w:r>
        <w:instrText xml:space="preserve"> HYPERLINK \l "_Toc144459636" </w:instrText>
      </w:r>
      <w:r>
        <w:fldChar w:fldCharType="separate"/>
      </w:r>
      <w:r>
        <w:rPr>
          <w:rStyle w:val="26"/>
        </w:rPr>
        <w:t>7.  承包人管理要求及工程照管配合</w:t>
      </w:r>
      <w:r>
        <w:tab/>
      </w:r>
      <w:r>
        <w:fldChar w:fldCharType="begin"/>
      </w:r>
      <w:r>
        <w:instrText xml:space="preserve"> PAGEREF _Toc144459636 \h </w:instrText>
      </w:r>
      <w:r>
        <w:fldChar w:fldCharType="separate"/>
      </w:r>
      <w:r>
        <w:t>20</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"_Toc144459637" </w:instrText>
      </w:r>
      <w:r>
        <w:fldChar w:fldCharType="separate"/>
      </w:r>
      <w:r>
        <w:rPr>
          <w:rStyle w:val="26"/>
          <w:rFonts w:ascii="宋体" w:hAnsi="宋体"/>
        </w:rPr>
        <w:t>7.1  承包人管理行为以及配合发包人要求</w:t>
      </w:r>
      <w:r>
        <w:tab/>
      </w:r>
      <w:r>
        <w:fldChar w:fldCharType="begin"/>
      </w:r>
      <w:r>
        <w:instrText xml:space="preserve"> PAGEREF _Toc144459637 \h </w:instrText>
      </w:r>
      <w:r>
        <w:fldChar w:fldCharType="separate"/>
      </w:r>
      <w:r>
        <w:t>20</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"_Toc144459638" </w:instrText>
      </w:r>
      <w:r>
        <w:fldChar w:fldCharType="separate"/>
      </w:r>
      <w:r>
        <w:rPr>
          <w:rStyle w:val="26"/>
          <w:rFonts w:ascii="宋体" w:hAnsi="宋体"/>
        </w:rPr>
        <w:t>7.2  对分包的管理要求及配合措施</w:t>
      </w:r>
      <w:r>
        <w:tab/>
      </w:r>
      <w:r>
        <w:fldChar w:fldCharType="begin"/>
      </w:r>
      <w:r>
        <w:instrText xml:space="preserve"> PAGEREF _Toc144459638 \h </w:instrText>
      </w:r>
      <w:r>
        <w:fldChar w:fldCharType="separate"/>
      </w:r>
      <w:r>
        <w:t>21</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"_Toc144459639" </w:instrText>
      </w:r>
      <w:r>
        <w:fldChar w:fldCharType="separate"/>
      </w:r>
      <w:r>
        <w:rPr>
          <w:rStyle w:val="26"/>
          <w:rFonts w:ascii="宋体" w:hAnsi="宋体"/>
        </w:rPr>
        <w:t>7.3  总承包人需履行的责任与义务</w:t>
      </w:r>
      <w:r>
        <w:tab/>
      </w:r>
      <w:r>
        <w:fldChar w:fldCharType="begin"/>
      </w:r>
      <w:r>
        <w:instrText xml:space="preserve"> PAGEREF _Toc144459639 \h </w:instrText>
      </w:r>
      <w:r>
        <w:fldChar w:fldCharType="separate"/>
      </w:r>
      <w:r>
        <w:t>23</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"_Toc144459640" </w:instrText>
      </w:r>
      <w:r>
        <w:fldChar w:fldCharType="separate"/>
      </w:r>
      <w:r>
        <w:rPr>
          <w:rStyle w:val="26"/>
          <w:rFonts w:ascii="宋体" w:hAnsi="宋体"/>
        </w:rPr>
        <w:t>7.4  违约责任</w:t>
      </w:r>
      <w:r>
        <w:tab/>
      </w:r>
      <w:r>
        <w:fldChar w:fldCharType="begin"/>
      </w:r>
      <w:r>
        <w:instrText xml:space="preserve"> PAGEREF _Toc144459640 \h </w:instrText>
      </w:r>
      <w:r>
        <w:fldChar w:fldCharType="separate"/>
      </w:r>
      <w:r>
        <w:t>26</w:t>
      </w:r>
      <w:r>
        <w:fldChar w:fldCharType="end"/>
      </w:r>
      <w:r>
        <w:fldChar w:fldCharType="end"/>
      </w:r>
    </w:p>
    <w:p>
      <w:pPr>
        <w:pStyle w:val="17"/>
        <w:rPr>
          <w:rFonts w:asciiTheme="minorHAnsi" w:hAnsiTheme="minorHAnsi" w:eastAsiaTheme="minorEastAsia" w:cstheme="minorBidi"/>
          <w:b w:val="0"/>
          <w:color w:val="auto"/>
          <w:sz w:val="21"/>
          <w:szCs w:val="22"/>
        </w:rPr>
      </w:pPr>
      <w:r>
        <w:fldChar w:fldCharType="begin"/>
      </w:r>
      <w:r>
        <w:instrText xml:space="preserve"> HYPERLINK \l "_Toc144459641" </w:instrText>
      </w:r>
      <w:r>
        <w:fldChar w:fldCharType="separate"/>
      </w:r>
      <w:r>
        <w:rPr>
          <w:rStyle w:val="26"/>
        </w:rPr>
        <w:t>8.  工程规范和技术要求</w:t>
      </w:r>
      <w:r>
        <w:tab/>
      </w:r>
      <w:r>
        <w:fldChar w:fldCharType="begin"/>
      </w:r>
      <w:r>
        <w:instrText xml:space="preserve"> PAGEREF _Toc144459641 \h </w:instrText>
      </w:r>
      <w:r>
        <w:fldChar w:fldCharType="separate"/>
      </w:r>
      <w:r>
        <w:t>27</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"_Toc144459642" </w:instrText>
      </w:r>
      <w:r>
        <w:fldChar w:fldCharType="separate"/>
      </w:r>
      <w:r>
        <w:rPr>
          <w:rStyle w:val="26"/>
          <w:rFonts w:ascii="宋体" w:hAnsi="宋体"/>
        </w:rPr>
        <w:t>8.1  适用规范和技术标准</w:t>
      </w:r>
      <w:r>
        <w:tab/>
      </w:r>
      <w:r>
        <w:fldChar w:fldCharType="begin"/>
      </w:r>
      <w:r>
        <w:instrText xml:space="preserve"> PAGEREF _Toc144459642 \h </w:instrText>
      </w:r>
      <w:r>
        <w:fldChar w:fldCharType="separate"/>
      </w:r>
      <w:r>
        <w:t>27</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"_Toc144459643" </w:instrText>
      </w:r>
      <w:r>
        <w:fldChar w:fldCharType="separate"/>
      </w:r>
      <w:r>
        <w:rPr>
          <w:rStyle w:val="26"/>
          <w:rFonts w:ascii="宋体" w:hAnsi="宋体"/>
        </w:rPr>
        <w:t>8.2  施工组织设计（专项方案）审批制度</w:t>
      </w:r>
      <w:r>
        <w:tab/>
      </w:r>
      <w:r>
        <w:fldChar w:fldCharType="begin"/>
      </w:r>
      <w:r>
        <w:instrText xml:space="preserve"> PAGEREF _Toc144459643 \h </w:instrText>
      </w:r>
      <w:r>
        <w:fldChar w:fldCharType="separate"/>
      </w:r>
      <w:r>
        <w:t>32</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"_Toc144459644" </w:instrText>
      </w:r>
      <w:r>
        <w:fldChar w:fldCharType="separate"/>
      </w:r>
      <w:r>
        <w:rPr>
          <w:rStyle w:val="26"/>
          <w:rFonts w:ascii="宋体" w:hAnsi="宋体"/>
        </w:rPr>
        <w:t>8.3  施工样板管理制度</w:t>
      </w:r>
      <w:r>
        <w:tab/>
      </w:r>
      <w:r>
        <w:fldChar w:fldCharType="begin"/>
      </w:r>
      <w:r>
        <w:instrText xml:space="preserve"> PAGEREF _Toc144459644 \h </w:instrText>
      </w:r>
      <w:r>
        <w:fldChar w:fldCharType="separate"/>
      </w:r>
      <w:r>
        <w:t>35</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"_Toc144459645" </w:instrText>
      </w:r>
      <w:r>
        <w:fldChar w:fldCharType="separate"/>
      </w:r>
      <w:r>
        <w:rPr>
          <w:rStyle w:val="26"/>
          <w:rFonts w:ascii="宋体" w:hAnsi="宋体"/>
        </w:rPr>
        <w:t>8.4  工程停止点检查制度</w:t>
      </w:r>
      <w:r>
        <w:tab/>
      </w:r>
      <w:r>
        <w:fldChar w:fldCharType="begin"/>
      </w:r>
      <w:r>
        <w:instrText xml:space="preserve"> PAGEREF _Toc144459645 \h </w:instrText>
      </w:r>
      <w:r>
        <w:fldChar w:fldCharType="separate"/>
      </w:r>
      <w:r>
        <w:t>37</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"_Toc144459646" </w:instrText>
      </w:r>
      <w:r>
        <w:fldChar w:fldCharType="separate"/>
      </w:r>
      <w:r>
        <w:rPr>
          <w:rStyle w:val="26"/>
          <w:rFonts w:ascii="宋体" w:hAnsi="宋体"/>
        </w:rPr>
        <w:t>8.5  相关表单</w:t>
      </w:r>
      <w:r>
        <w:tab/>
      </w:r>
      <w:r>
        <w:fldChar w:fldCharType="begin"/>
      </w:r>
      <w:r>
        <w:instrText xml:space="preserve"> PAGEREF _Toc144459646 \h </w:instrText>
      </w:r>
      <w:r>
        <w:fldChar w:fldCharType="separate"/>
      </w:r>
      <w:r>
        <w:t>42</w:t>
      </w:r>
      <w:r>
        <w:fldChar w:fldCharType="end"/>
      </w:r>
      <w:r>
        <w:fldChar w:fldCharType="end"/>
      </w:r>
    </w:p>
    <w:p>
      <w:pPr>
        <w:pStyle w:val="17"/>
        <w:rPr>
          <w:rFonts w:asciiTheme="minorHAnsi" w:hAnsiTheme="minorHAnsi" w:eastAsiaTheme="minorEastAsia" w:cstheme="minorBidi"/>
          <w:b w:val="0"/>
          <w:color w:val="auto"/>
          <w:sz w:val="21"/>
          <w:szCs w:val="22"/>
        </w:rPr>
      </w:pPr>
      <w:r>
        <w:fldChar w:fldCharType="begin"/>
      </w:r>
      <w:r>
        <w:instrText xml:space="preserve"> HYPERLINK \l "_Toc144459647" </w:instrText>
      </w:r>
      <w:r>
        <w:fldChar w:fldCharType="separate"/>
      </w:r>
      <w:r>
        <w:rPr>
          <w:rStyle w:val="26"/>
        </w:rPr>
        <w:t>9.  施工现场管理制度</w:t>
      </w:r>
      <w:r>
        <w:tab/>
      </w:r>
      <w:r>
        <w:fldChar w:fldCharType="begin"/>
      </w:r>
      <w:r>
        <w:instrText xml:space="preserve"> PAGEREF _Toc144459647 \h </w:instrText>
      </w:r>
      <w:r>
        <w:fldChar w:fldCharType="separate"/>
      </w:r>
      <w:r>
        <w:t>47</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"_Toc144459648" </w:instrText>
      </w:r>
      <w:r>
        <w:fldChar w:fldCharType="separate"/>
      </w:r>
      <w:r>
        <w:rPr>
          <w:rStyle w:val="26"/>
          <w:rFonts w:ascii="宋体" w:hAnsi="宋体"/>
        </w:rPr>
        <w:t>9.1  施工现场管理制度</w:t>
      </w:r>
      <w:r>
        <w:tab/>
      </w:r>
      <w:r>
        <w:fldChar w:fldCharType="begin"/>
      </w:r>
      <w:r>
        <w:instrText xml:space="preserve"> PAGEREF _Toc144459648 \h </w:instrText>
      </w:r>
      <w:r>
        <w:fldChar w:fldCharType="separate"/>
      </w:r>
      <w:r>
        <w:t>47</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"_Toc144459649" </w:instrText>
      </w:r>
      <w:r>
        <w:fldChar w:fldCharType="separate"/>
      </w:r>
      <w:r>
        <w:rPr>
          <w:rStyle w:val="26"/>
          <w:rFonts w:ascii="宋体" w:hAnsi="宋体"/>
        </w:rPr>
        <w:t>9.2  施工管理奖罚规定</w:t>
      </w:r>
      <w:r>
        <w:tab/>
      </w:r>
      <w:r>
        <w:fldChar w:fldCharType="begin"/>
      </w:r>
      <w:r>
        <w:instrText xml:space="preserve"> PAGEREF _Toc144459649 \h </w:instrText>
      </w:r>
      <w:r>
        <w:fldChar w:fldCharType="separate"/>
      </w:r>
      <w:r>
        <w:t>49</w:t>
      </w:r>
      <w:r>
        <w:fldChar w:fldCharType="end"/>
      </w:r>
      <w:r>
        <w:fldChar w:fldCharType="end"/>
      </w:r>
    </w:p>
    <w:p>
      <w:pPr>
        <w:pStyle w:val="18"/>
        <w:rPr>
          <w:rFonts w:asciiTheme="minorHAnsi" w:hAnsiTheme="minorHAnsi" w:eastAsiaTheme="minorEastAsia" w:cstheme="minorBidi"/>
          <w:color w:val="auto"/>
          <w:sz w:val="21"/>
          <w:szCs w:val="22"/>
        </w:rPr>
      </w:pPr>
      <w:r>
        <w:fldChar w:fldCharType="begin"/>
      </w:r>
      <w:r>
        <w:instrText xml:space="preserve"> HYPERLINK \l "_Toc144459650" </w:instrText>
      </w:r>
      <w:r>
        <w:fldChar w:fldCharType="separate"/>
      </w:r>
      <w:r>
        <w:rPr>
          <w:rStyle w:val="26"/>
          <w:rFonts w:ascii="宋体" w:hAnsi="宋体"/>
        </w:rPr>
        <w:t>9.3  项目施工管理综合考评</w:t>
      </w:r>
      <w:r>
        <w:tab/>
      </w:r>
      <w:r>
        <w:fldChar w:fldCharType="begin"/>
      </w:r>
      <w:r>
        <w:instrText xml:space="preserve"> PAGEREF _Toc144459650 \h </w:instrText>
      </w:r>
      <w:r>
        <w:fldChar w:fldCharType="separate"/>
      </w:r>
      <w:r>
        <w:t>52</w:t>
      </w:r>
      <w:r>
        <w:fldChar w:fldCharType="end"/>
      </w:r>
      <w:r>
        <w:fldChar w:fldCharType="end"/>
      </w:r>
    </w:p>
    <w:p>
      <w:pPr>
        <w:pStyle w:val="17"/>
        <w:rPr>
          <w:rFonts w:asciiTheme="minorHAnsi" w:hAnsiTheme="minorHAnsi" w:eastAsiaTheme="minorEastAsia" w:cstheme="minorBidi"/>
          <w:b w:val="0"/>
          <w:color w:val="auto"/>
          <w:sz w:val="21"/>
          <w:szCs w:val="22"/>
        </w:rPr>
      </w:pPr>
      <w:r>
        <w:fldChar w:fldCharType="begin"/>
      </w:r>
      <w:r>
        <w:instrText xml:space="preserve"> HYPERLINK \l "_Toc144459651" </w:instrText>
      </w:r>
      <w:r>
        <w:fldChar w:fldCharType="separate"/>
      </w:r>
      <w:r>
        <w:rPr>
          <w:rStyle w:val="26"/>
        </w:rPr>
        <w:t>10.  附件</w:t>
      </w:r>
      <w:r>
        <w:tab/>
      </w:r>
      <w:r>
        <w:fldChar w:fldCharType="begin"/>
      </w:r>
      <w:r>
        <w:instrText xml:space="preserve"> PAGEREF _Toc144459651 \h </w:instrText>
      </w:r>
      <w:r>
        <w:fldChar w:fldCharType="separate"/>
      </w:r>
      <w:r>
        <w:t>53</w:t>
      </w:r>
      <w:r>
        <w:fldChar w:fldCharType="end"/>
      </w:r>
      <w:r>
        <w:fldChar w:fldCharType="end"/>
      </w:r>
    </w:p>
    <w:p>
      <w:pPr>
        <w:spacing w:line="276" w:lineRule="auto"/>
        <w:rPr>
          <w:rFonts w:ascii="宋体" w:hAnsi="宋体"/>
        </w:rPr>
        <w:sectPr>
          <w:headerReference r:id="rId3" w:type="default"/>
          <w:headerReference r:id="rId4" w:type="even"/>
          <w:footerReference r:id="rId5" w:type="even"/>
          <w:pgSz w:w="11906" w:h="16838"/>
          <w:pgMar w:top="1134" w:right="1247" w:bottom="1134" w:left="1588" w:header="471" w:footer="992" w:gutter="0"/>
          <w:pgNumType w:start="5"/>
          <w:cols w:space="720" w:num="1"/>
          <w:docGrid w:type="lines" w:linePitch="312" w:charSpace="0"/>
        </w:sectPr>
      </w:pPr>
      <w:r>
        <w:rPr>
          <w:rFonts w:ascii="宋体" w:hAnsi="宋体"/>
        </w:rPr>
        <w:fldChar w:fldCharType="end"/>
      </w:r>
    </w:p>
    <w:p>
      <w:pPr>
        <w:pStyle w:val="2"/>
        <w:spacing w:before="0" w:after="0" w:line="276" w:lineRule="auto"/>
        <w:rPr>
          <w:rFonts w:ascii="宋体" w:hAnsi="宋体"/>
          <w:sz w:val="28"/>
          <w:szCs w:val="28"/>
        </w:rPr>
      </w:pPr>
      <w:bookmarkStart w:id="0" w:name="_Toc144459612"/>
      <w:bookmarkStart w:id="1" w:name="_Toc405535510"/>
      <w:r>
        <w:rPr>
          <w:rFonts w:hint="eastAsia" w:ascii="宋体" w:hAnsi="宋体"/>
          <w:sz w:val="28"/>
          <w:szCs w:val="28"/>
        </w:rPr>
        <w:t>1.  项目概况和说明</w:t>
      </w:r>
      <w:bookmarkEnd w:id="0"/>
      <w:bookmarkEnd w:id="1"/>
    </w:p>
    <w:p>
      <w:pPr>
        <w:pStyle w:val="3"/>
        <w:spacing w:before="0" w:after="0" w:line="276" w:lineRule="auto"/>
        <w:ind w:firstLine="413" w:firstLineChars="196"/>
        <w:rPr>
          <w:rFonts w:ascii="宋体" w:hAnsi="宋体"/>
          <w:sz w:val="21"/>
          <w:szCs w:val="21"/>
        </w:rPr>
      </w:pPr>
      <w:bookmarkStart w:id="2" w:name="_Toc405535511"/>
      <w:bookmarkStart w:id="3" w:name="_Toc144459613"/>
      <w:r>
        <w:rPr>
          <w:rFonts w:hint="eastAsia" w:ascii="宋体" w:hAnsi="宋体"/>
          <w:sz w:val="21"/>
          <w:szCs w:val="21"/>
        </w:rPr>
        <w:t>1.1  工程建设地点的现场自然条件</w:t>
      </w:r>
      <w:bookmarkEnd w:id="2"/>
      <w:bookmarkEnd w:id="3"/>
    </w:p>
    <w:p>
      <w:pPr>
        <w:spacing w:line="276" w:lineRule="auto"/>
        <w:ind w:firstLine="420" w:firstLineChars="200"/>
        <w:rPr>
          <w:rFonts w:ascii="宋体" w:hAnsi="宋体"/>
        </w:rPr>
      </w:pPr>
      <w:r>
        <w:rPr>
          <w:rFonts w:hint="eastAsia" w:ascii="宋体" w:hAnsi="宋体"/>
        </w:rPr>
        <w:t>项目位于广州中心城区西北部，白云区西南部，上盖物业开发用地位于白云站南北两侧咽喉区上方18米标高盖板之上，分为南北两宗地块。（项目西南侧紧靠广州8号线地铁站石潭站，南向直线约5公里处为广州火车站和白云区政府所在地，东南向直线约7公里处为广州市政府所在地、直线约9公里处为广州东站，西北向直线约21公里处为广州北站，东北向直线约23公里处为白云国际机场）。</w:t>
      </w:r>
    </w:p>
    <w:p>
      <w:pPr>
        <w:pStyle w:val="3"/>
        <w:spacing w:before="0" w:after="0" w:line="276" w:lineRule="auto"/>
        <w:ind w:firstLine="413" w:firstLineChars="196"/>
        <w:rPr>
          <w:rFonts w:ascii="宋体" w:hAnsi="宋体"/>
          <w:sz w:val="21"/>
          <w:szCs w:val="21"/>
        </w:rPr>
      </w:pPr>
      <w:bookmarkStart w:id="4" w:name="_Toc144459614"/>
      <w:bookmarkStart w:id="5" w:name="_Toc405535512"/>
      <w:r>
        <w:rPr>
          <w:rFonts w:hint="eastAsia" w:ascii="宋体" w:hAnsi="宋体"/>
          <w:sz w:val="21"/>
          <w:szCs w:val="21"/>
        </w:rPr>
        <w:t>1.2  工程建设地点的现场施工条件</w:t>
      </w:r>
      <w:bookmarkEnd w:id="4"/>
      <w:bookmarkEnd w:id="5"/>
    </w:p>
    <w:p>
      <w:pPr>
        <w:spacing w:line="276" w:lineRule="auto"/>
        <w:ind w:firstLine="420" w:firstLineChars="200"/>
        <w:rPr>
          <w:rFonts w:ascii="宋体" w:hAnsi="宋体"/>
        </w:rPr>
      </w:pPr>
      <w:r>
        <w:rPr>
          <w:rFonts w:hint="eastAsia" w:ascii="宋体" w:hAnsi="宋体"/>
        </w:rPr>
        <w:t>地质条件详见本项目地质勘察报告。地质勘查资料中未能探明，但作为有经验承包商能预料的情况，发包人不会予以签证。发包人在开工前提供工程地质勘察报告复印件及部分地下管线资料复印件。</w:t>
      </w:r>
    </w:p>
    <w:p>
      <w:pPr>
        <w:spacing w:line="276" w:lineRule="auto"/>
        <w:ind w:firstLine="420" w:firstLineChars="200"/>
        <w:rPr>
          <w:rFonts w:ascii="宋体" w:hAnsi="宋体"/>
        </w:rPr>
      </w:pPr>
      <w:bookmarkStart w:id="6" w:name="_Toc404565069"/>
      <w:bookmarkStart w:id="7" w:name="_Toc166395990"/>
      <w:bookmarkStart w:id="8" w:name="_Toc167070309"/>
      <w:bookmarkStart w:id="9" w:name="_Toc405535513"/>
      <w:bookmarkStart w:id="10" w:name="_Toc404603772"/>
      <w:r>
        <w:rPr>
          <w:rFonts w:hint="eastAsia" w:ascii="宋体" w:hAnsi="宋体"/>
        </w:rPr>
        <w:t xml:space="preserve">1.2.1  </w:t>
      </w:r>
      <w:r>
        <w:rPr>
          <w:rFonts w:ascii="宋体" w:hAnsi="宋体"/>
        </w:rPr>
        <w:t>临时供水</w:t>
      </w:r>
      <w:bookmarkEnd w:id="6"/>
      <w:bookmarkEnd w:id="7"/>
      <w:bookmarkEnd w:id="8"/>
      <w:bookmarkEnd w:id="9"/>
      <w:bookmarkEnd w:id="10"/>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 xml:space="preserve">1.2.1.1  </w:t>
      </w:r>
      <w:r>
        <w:rPr>
          <w:rFonts w:ascii="宋体" w:hAnsi="宋体"/>
        </w:rPr>
        <w:t>承包人应到现场察看了解清楚现场临时供水点具体位置和用水容量，</w:t>
      </w:r>
      <w:r>
        <w:rPr>
          <w:rFonts w:hint="eastAsia" w:ascii="宋体" w:hAnsi="宋体"/>
        </w:rPr>
        <w:t>现场必须设置施工临时用水</w:t>
      </w:r>
      <w:r>
        <w:rPr>
          <w:rFonts w:hint="eastAsia" w:ascii="宋体" w:hAnsi="宋体"/>
          <w:color w:val="auto"/>
        </w:rPr>
        <w:t>水池</w:t>
      </w:r>
      <w:r>
        <w:rPr>
          <w:rFonts w:hint="eastAsia" w:ascii="宋体" w:hAnsi="宋体"/>
        </w:rPr>
        <w:t>，</w:t>
      </w:r>
      <w:r>
        <w:rPr>
          <w:rFonts w:ascii="宋体" w:hAnsi="宋体"/>
        </w:rPr>
        <w:t>临时供水</w:t>
      </w:r>
      <w:r>
        <w:rPr>
          <w:rFonts w:hint="eastAsia" w:ascii="宋体" w:hAnsi="宋体"/>
        </w:rPr>
        <w:t>水池</w:t>
      </w:r>
      <w:r>
        <w:rPr>
          <w:rFonts w:ascii="宋体" w:hAnsi="宋体"/>
        </w:rPr>
        <w:t>自行接驳至各施工用水点，并确保水管管路畅通无阻。</w:t>
      </w:r>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 xml:space="preserve">1.2.1.2  </w:t>
      </w:r>
      <w:r>
        <w:rPr>
          <w:rFonts w:ascii="宋体" w:hAnsi="宋体"/>
        </w:rPr>
        <w:t>承包人</w:t>
      </w:r>
      <w:r>
        <w:rPr>
          <w:rFonts w:hint="eastAsia" w:ascii="宋体" w:hAnsi="宋体"/>
        </w:rPr>
        <w:t>须</w:t>
      </w:r>
      <w:r>
        <w:rPr>
          <w:rFonts w:ascii="宋体" w:hAnsi="宋体"/>
        </w:rPr>
        <w:t>在现场为工程各楼层、各区域在发包人指定的位置提供所有必要的临时供水</w:t>
      </w:r>
      <w:r>
        <w:rPr>
          <w:rFonts w:hint="eastAsia" w:ascii="宋体" w:hAnsi="宋体"/>
          <w:color w:val="auto"/>
        </w:rPr>
        <w:t>，具体以审批通过后的临水方案为准</w:t>
      </w:r>
      <w:r>
        <w:rPr>
          <w:rFonts w:ascii="宋体" w:hAnsi="宋体"/>
        </w:rPr>
        <w:t>。</w:t>
      </w:r>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 xml:space="preserve">1.2.1.3  </w:t>
      </w:r>
      <w:r>
        <w:rPr>
          <w:rFonts w:ascii="宋体" w:hAnsi="宋体"/>
        </w:rPr>
        <w:t>如承包人认为发包人提供的用水容量不足以满足施工期间正常施工所需用水及后期试验时所需用水要求，承包人需自费解决。</w:t>
      </w:r>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1.2.1.4  承包人</w:t>
      </w:r>
      <w:r>
        <w:rPr>
          <w:rFonts w:ascii="宋体" w:hAnsi="宋体"/>
        </w:rPr>
        <w:t>应负责接驳</w:t>
      </w:r>
      <w:r>
        <w:rPr>
          <w:rFonts w:hint="eastAsia" w:ascii="宋体" w:hAnsi="宋体"/>
        </w:rPr>
        <w:t>发包人提供水源接驳点后</w:t>
      </w:r>
      <w:r>
        <w:rPr>
          <w:rFonts w:ascii="宋体" w:hAnsi="宋体"/>
        </w:rPr>
        <w:t>临时供水系统所需的一切物料（包括但不限于水表、水管、管件、阀门、龙头及配件）和劳务，并承担在施工期间的一切费用，包括施工期间日常用水的费用。承包人亦须负责在合同期内对上述临时供水系统采取有效保护措施以防止漏水或任何损坏</w:t>
      </w:r>
      <w:r>
        <w:rPr>
          <w:rFonts w:hint="eastAsia" w:ascii="宋体" w:hAnsi="宋体"/>
        </w:rPr>
        <w:t>及防冻</w:t>
      </w:r>
      <w:r>
        <w:rPr>
          <w:rFonts w:ascii="宋体" w:hAnsi="宋体"/>
        </w:rPr>
        <w:t>。</w:t>
      </w:r>
      <w:r>
        <w:rPr>
          <w:rFonts w:hint="eastAsia" w:ascii="宋体" w:hAnsi="宋体"/>
        </w:rPr>
        <w:t>本工程</w:t>
      </w:r>
      <w:r>
        <w:rPr>
          <w:rFonts w:ascii="宋体" w:hAnsi="宋体"/>
        </w:rPr>
        <w:t>竣工后</w:t>
      </w:r>
      <w:r>
        <w:rPr>
          <w:rFonts w:hint="eastAsia" w:ascii="宋体" w:hAnsi="宋体"/>
        </w:rPr>
        <w:t>负责</w:t>
      </w:r>
      <w:r>
        <w:rPr>
          <w:rFonts w:ascii="宋体" w:hAnsi="宋体"/>
        </w:rPr>
        <w:t>将该等临时系统拆除和搬走。</w:t>
      </w:r>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 xml:space="preserve">1.2.1.5  </w:t>
      </w:r>
      <w:r>
        <w:rPr>
          <w:rFonts w:ascii="宋体" w:hAnsi="宋体"/>
        </w:rPr>
        <w:t>在实际完工交付前，承包人负责向供</w:t>
      </w:r>
      <w:r>
        <w:rPr>
          <w:rFonts w:hint="eastAsia" w:ascii="宋体" w:hAnsi="宋体"/>
        </w:rPr>
        <w:t>水部门</w:t>
      </w:r>
      <w:r>
        <w:rPr>
          <w:rFonts w:ascii="宋体" w:hAnsi="宋体"/>
        </w:rPr>
        <w:t>支付和缴纳所有有关费用，包括因额外供</w:t>
      </w:r>
      <w:r>
        <w:rPr>
          <w:rFonts w:hint="eastAsia" w:ascii="宋体" w:hAnsi="宋体"/>
        </w:rPr>
        <w:t>水</w:t>
      </w:r>
      <w:r>
        <w:rPr>
          <w:rFonts w:ascii="宋体" w:hAnsi="宋体"/>
        </w:rPr>
        <w:t>而须缴纳的增容费</w:t>
      </w:r>
      <w:r>
        <w:rPr>
          <w:rFonts w:hint="eastAsia" w:ascii="宋体" w:hAnsi="宋体"/>
        </w:rPr>
        <w:t>、</w:t>
      </w:r>
      <w:r>
        <w:rPr>
          <w:rFonts w:ascii="宋体" w:hAnsi="宋体"/>
        </w:rPr>
        <w:t>施工期间日常用</w:t>
      </w:r>
      <w:r>
        <w:rPr>
          <w:rFonts w:hint="eastAsia" w:ascii="宋体" w:hAnsi="宋体"/>
        </w:rPr>
        <w:t>水</w:t>
      </w:r>
      <w:r>
        <w:rPr>
          <w:rFonts w:ascii="宋体" w:hAnsi="宋体"/>
        </w:rPr>
        <w:t>的费用</w:t>
      </w:r>
      <w:r>
        <w:rPr>
          <w:rFonts w:hint="eastAsia" w:ascii="宋体" w:hAnsi="宋体"/>
        </w:rPr>
        <w:t>、</w:t>
      </w:r>
      <w:r>
        <w:rPr>
          <w:rFonts w:ascii="宋体" w:hAnsi="宋体"/>
        </w:rPr>
        <w:t>试验所耗用水</w:t>
      </w:r>
      <w:r>
        <w:rPr>
          <w:rFonts w:hint="eastAsia" w:ascii="宋体" w:hAnsi="宋体"/>
        </w:rPr>
        <w:t>的费用及相关损耗</w:t>
      </w:r>
      <w:r>
        <w:rPr>
          <w:rFonts w:ascii="宋体" w:hAnsi="宋体"/>
        </w:rPr>
        <w:t>。</w:t>
      </w:r>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 xml:space="preserve">1.2.1.6  </w:t>
      </w:r>
      <w:r>
        <w:rPr>
          <w:rFonts w:ascii="宋体" w:hAnsi="宋体"/>
        </w:rPr>
        <w:t>承包人保持全天候的用水供应，发包人将不负责任何有关供水的索赔。</w:t>
      </w:r>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 xml:space="preserve">1.2.1.7  </w:t>
      </w:r>
      <w:r>
        <w:rPr>
          <w:rFonts w:ascii="宋体" w:hAnsi="宋体"/>
        </w:rPr>
        <w:t>施工期间承包人不得因政府限制用水而要求额外索赔或延长工期。</w:t>
      </w:r>
    </w:p>
    <w:p>
      <w:pPr>
        <w:spacing w:line="276" w:lineRule="auto"/>
        <w:ind w:firstLine="420" w:firstLineChars="200"/>
        <w:rPr>
          <w:rFonts w:ascii="宋体" w:hAnsi="宋体"/>
        </w:rPr>
      </w:pPr>
      <w:bookmarkStart w:id="11" w:name="_Toc405535514"/>
      <w:bookmarkStart w:id="12" w:name="_Toc166395991"/>
      <w:bookmarkStart w:id="13" w:name="_Toc404603773"/>
      <w:bookmarkStart w:id="14" w:name="_Toc404565070"/>
      <w:bookmarkStart w:id="15" w:name="_Toc167070310"/>
      <w:r>
        <w:rPr>
          <w:rFonts w:hint="eastAsia" w:ascii="宋体" w:hAnsi="宋体"/>
        </w:rPr>
        <w:t>1.</w:t>
      </w:r>
      <w:r>
        <w:rPr>
          <w:rFonts w:ascii="宋体" w:hAnsi="宋体"/>
        </w:rPr>
        <w:t>2.</w:t>
      </w:r>
      <w:r>
        <w:rPr>
          <w:rFonts w:hint="eastAsia" w:ascii="宋体" w:hAnsi="宋体"/>
        </w:rPr>
        <w:t xml:space="preserve">2  </w:t>
      </w:r>
      <w:r>
        <w:rPr>
          <w:rFonts w:ascii="宋体" w:hAnsi="宋体"/>
        </w:rPr>
        <w:t>临时照明和供电</w:t>
      </w:r>
      <w:bookmarkEnd w:id="11"/>
      <w:bookmarkEnd w:id="12"/>
      <w:bookmarkEnd w:id="13"/>
      <w:bookmarkEnd w:id="14"/>
      <w:bookmarkEnd w:id="15"/>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 xml:space="preserve">1.2.2.1  </w:t>
      </w:r>
      <w:r>
        <w:rPr>
          <w:rFonts w:ascii="宋体" w:hAnsi="宋体"/>
        </w:rPr>
        <w:t>承包人应到现场察看了解清楚现场临时供</w:t>
      </w:r>
      <w:r>
        <w:rPr>
          <w:rFonts w:hint="eastAsia" w:ascii="宋体" w:hAnsi="宋体"/>
        </w:rPr>
        <w:t>电</w:t>
      </w:r>
      <w:r>
        <w:rPr>
          <w:rFonts w:ascii="宋体" w:hAnsi="宋体"/>
        </w:rPr>
        <w:t>点具体位置和用</w:t>
      </w:r>
      <w:r>
        <w:rPr>
          <w:rFonts w:hint="eastAsia" w:ascii="宋体" w:hAnsi="宋体"/>
        </w:rPr>
        <w:t>电</w:t>
      </w:r>
      <w:r>
        <w:rPr>
          <w:rFonts w:ascii="宋体" w:hAnsi="宋体"/>
        </w:rPr>
        <w:t>容量，负责自临时供</w:t>
      </w:r>
      <w:r>
        <w:rPr>
          <w:rFonts w:hint="eastAsia" w:ascii="宋体" w:hAnsi="宋体"/>
        </w:rPr>
        <w:t>电</w:t>
      </w:r>
      <w:r>
        <w:rPr>
          <w:rFonts w:ascii="宋体" w:hAnsi="宋体"/>
        </w:rPr>
        <w:t>点位置自行接驳至各施工用</w:t>
      </w:r>
      <w:r>
        <w:rPr>
          <w:rFonts w:hint="eastAsia" w:ascii="宋体" w:hAnsi="宋体"/>
        </w:rPr>
        <w:t>电</w:t>
      </w:r>
      <w:r>
        <w:rPr>
          <w:rFonts w:ascii="宋体" w:hAnsi="宋体"/>
        </w:rPr>
        <w:t>点，并确保</w:t>
      </w:r>
      <w:r>
        <w:rPr>
          <w:rFonts w:hint="eastAsia" w:ascii="宋体" w:hAnsi="宋体"/>
        </w:rPr>
        <w:t>用电正常</w:t>
      </w:r>
      <w:r>
        <w:rPr>
          <w:rFonts w:ascii="宋体" w:hAnsi="宋体"/>
        </w:rPr>
        <w:t>。</w:t>
      </w:r>
      <w:r>
        <w:rPr>
          <w:rFonts w:hint="eastAsia" w:ascii="宋体" w:hAnsi="宋体"/>
        </w:rPr>
        <w:t>施工期间，承包人负责场地内所有用电设施的照管工作，如有丢失，照价赔偿，由此所造成的工期损失不予顺延。</w:t>
      </w:r>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1.2.2.2  承包人</w:t>
      </w:r>
      <w:r>
        <w:rPr>
          <w:rFonts w:ascii="宋体" w:hAnsi="宋体"/>
        </w:rPr>
        <w:t>须在现场各机房、各楼层、各区域由发包人指定的位置提供临时用电点</w:t>
      </w:r>
      <w:r>
        <w:rPr>
          <w:rFonts w:hint="eastAsia" w:ascii="宋体" w:hAnsi="宋体"/>
          <w:color w:val="auto"/>
        </w:rPr>
        <w:t>，具体以审批通过后的临电方案为准</w:t>
      </w:r>
      <w:r>
        <w:rPr>
          <w:rFonts w:ascii="宋体" w:hAnsi="宋体"/>
        </w:rPr>
        <w:t>。</w:t>
      </w:r>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 xml:space="preserve">1.2.2.3  </w:t>
      </w:r>
      <w:r>
        <w:rPr>
          <w:rFonts w:ascii="宋体" w:hAnsi="宋体"/>
        </w:rPr>
        <w:t>施工期间承包人负责提供一切临时用电，包括临时照明、施工机械和机具用电、试验和调试用电；若承包人认为发包人提供的临时供电量不足以满足施工期间正常施工所需用电量及后期试验、调试时所需用电量要求，承包人需自费提供任何额外供电以完成本工程。</w:t>
      </w:r>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 xml:space="preserve">1.2.2.4  </w:t>
      </w:r>
      <w:r>
        <w:rPr>
          <w:rFonts w:ascii="宋体" w:hAnsi="宋体"/>
        </w:rPr>
        <w:t>承包人负责提供所有临时用电设施，包括临时电表、配电箱（保证三级配电箱间的距离不超过50米）、线管、电缆电线</w:t>
      </w:r>
      <w:r>
        <w:rPr>
          <w:rFonts w:hint="eastAsia" w:ascii="宋体" w:hAnsi="宋体"/>
        </w:rPr>
        <w:t>（包括电梯的调试电缆及样板区电缆）</w:t>
      </w:r>
      <w:r>
        <w:rPr>
          <w:rFonts w:ascii="宋体" w:hAnsi="宋体"/>
        </w:rPr>
        <w:t>、开关、插座、36伏变压器、灯架、灯头、灯具、零配件等全部物料和劳务，竣工后负责拆除和搬走所有临时电力设施，以及支付一切费用。</w:t>
      </w:r>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1.2.2.5  承包人负责由变压器至所有楼栋（包括示范区、样板房及景观样板区</w:t>
      </w:r>
      <w:r>
        <w:rPr>
          <w:rFonts w:ascii="宋体" w:hAnsi="宋体"/>
        </w:rPr>
        <w:t>）</w:t>
      </w:r>
      <w:r>
        <w:rPr>
          <w:rFonts w:hint="eastAsia" w:ascii="宋体" w:hAnsi="宋体"/>
        </w:rPr>
        <w:t>的临时电缆敷设及配电箱安装并保证满足使用要求；正式通电后，上述电缆及配电箱由相应承包人收回。</w:t>
      </w:r>
      <w:r>
        <w:rPr>
          <w:rFonts w:ascii="宋体" w:hAnsi="宋体"/>
        </w:rPr>
        <w:t>承包人应到现场察看</w:t>
      </w:r>
      <w:r>
        <w:rPr>
          <w:rFonts w:hint="eastAsia" w:ascii="宋体" w:hAnsi="宋体"/>
        </w:rPr>
        <w:t>并</w:t>
      </w:r>
      <w:r>
        <w:rPr>
          <w:rFonts w:ascii="宋体" w:hAnsi="宋体"/>
        </w:rPr>
        <w:t>了解</w:t>
      </w:r>
      <w:r>
        <w:rPr>
          <w:rFonts w:hint="eastAsia" w:ascii="宋体" w:hAnsi="宋体"/>
        </w:rPr>
        <w:t>情况，所有费用包含于合同报价中。</w:t>
      </w:r>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 xml:space="preserve">1.2.2.6  </w:t>
      </w:r>
      <w:r>
        <w:rPr>
          <w:rFonts w:ascii="宋体" w:hAnsi="宋体"/>
        </w:rPr>
        <w:t>所有临时电力设备装置应正确安装，做接地保护，使其符合国家规范及当地政府有关部门的规定和安全条例，保证临时供电全天候安全使用。所有室外敷设和使用的临时照明和供电用的插头、插座、接线、变压器、临时开关和保险丝等，应符合防水要求。</w:t>
      </w:r>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 xml:space="preserve">1.2.2.7  </w:t>
      </w:r>
      <w:r>
        <w:rPr>
          <w:rFonts w:ascii="宋体" w:hAnsi="宋体"/>
        </w:rPr>
        <w:t>在实际完工交付前，所有的</w:t>
      </w:r>
      <w:r>
        <w:rPr>
          <w:rFonts w:hint="eastAsia" w:ascii="宋体" w:hAnsi="宋体"/>
        </w:rPr>
        <w:t>用</w:t>
      </w:r>
      <w:r>
        <w:rPr>
          <w:rFonts w:ascii="宋体" w:hAnsi="宋体"/>
        </w:rPr>
        <w:t>电费用都由承包人</w:t>
      </w:r>
      <w:r>
        <w:rPr>
          <w:rFonts w:hint="eastAsia" w:ascii="宋体" w:hAnsi="宋体"/>
        </w:rPr>
        <w:t>负责</w:t>
      </w:r>
      <w:r>
        <w:rPr>
          <w:rFonts w:ascii="宋体" w:hAnsi="宋体"/>
        </w:rPr>
        <w:t>，包括向供电局支付和缴纳所有有关费用，因额外供电而须缴纳的增容费，以及施工期间日常用电的费用</w:t>
      </w:r>
      <w:r>
        <w:rPr>
          <w:rFonts w:hint="eastAsia" w:ascii="宋体" w:hAnsi="宋体"/>
        </w:rPr>
        <w:t>，</w:t>
      </w:r>
      <w:r>
        <w:rPr>
          <w:rFonts w:ascii="宋体" w:hAnsi="宋体"/>
        </w:rPr>
        <w:t>调试消耗用电以及永久设备和系统调试所用的永久性电源的费用。</w:t>
      </w:r>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 xml:space="preserve">1.2.2.8  </w:t>
      </w:r>
      <w:r>
        <w:rPr>
          <w:rFonts w:ascii="宋体" w:hAnsi="宋体"/>
        </w:rPr>
        <w:t>承包人</w:t>
      </w:r>
      <w:r>
        <w:rPr>
          <w:rFonts w:hint="eastAsia" w:ascii="宋体" w:hAnsi="宋体"/>
        </w:rPr>
        <w:t>应</w:t>
      </w:r>
      <w:r>
        <w:rPr>
          <w:rFonts w:ascii="宋体" w:hAnsi="宋体"/>
        </w:rPr>
        <w:t>保证现场足够的用电供应，承包人不得就任何有关供电的原因向发包人提出费用和工期的索赔。</w:t>
      </w:r>
    </w:p>
    <w:p>
      <w:pPr>
        <w:autoSpaceDE w:val="0"/>
        <w:autoSpaceDN w:val="0"/>
        <w:adjustRightInd w:val="0"/>
        <w:spacing w:line="276" w:lineRule="auto"/>
        <w:ind w:right="25" w:rightChars="12" w:firstLine="420" w:firstLineChars="200"/>
        <w:textAlignment w:val="baseline"/>
        <w:rPr>
          <w:rFonts w:ascii="宋体" w:hAnsi="宋体"/>
        </w:rPr>
      </w:pPr>
      <w:r>
        <w:rPr>
          <w:rFonts w:hint="eastAsia" w:ascii="宋体" w:hAnsi="宋体"/>
        </w:rPr>
        <w:t>1.2.2.9  如在正式用电未接通之前，承包人必须提供消防验收的调试用临时电缆，未经发包人许可不得拆除。</w:t>
      </w:r>
    </w:p>
    <w:p>
      <w:pPr>
        <w:spacing w:line="276" w:lineRule="auto"/>
        <w:ind w:firstLine="420" w:firstLineChars="200"/>
        <w:rPr>
          <w:rFonts w:ascii="宋体" w:hAnsi="宋体"/>
        </w:rPr>
      </w:pPr>
    </w:p>
    <w:p>
      <w:pPr>
        <w:spacing w:line="276" w:lineRule="auto"/>
        <w:ind w:firstLine="422" w:firstLineChars="200"/>
        <w:rPr>
          <w:rFonts w:ascii="宋体" w:hAnsi="宋体" w:cs="宋体"/>
          <w:sz w:val="24"/>
          <w:szCs w:val="24"/>
        </w:rPr>
      </w:pPr>
      <w:r>
        <w:rPr>
          <w:rFonts w:hint="eastAsia" w:ascii="宋体" w:hAnsi="宋体"/>
          <w:b/>
          <w:bCs/>
        </w:rPr>
        <w:t>特别提醒：</w:t>
      </w:r>
      <w:r>
        <w:rPr>
          <w:rFonts w:hint="eastAsia" w:ascii="宋体" w:hAnsi="宋体" w:cs="宋体"/>
          <w:sz w:val="24"/>
          <w:szCs w:val="24"/>
        </w:rPr>
        <w:t>在上述条件下，若施工现场仍然无法完全满足承包人搭设临时设施的条件要求，承包人应当自行考虑场外临设的安排计划，以便于对临时设施做出更加合理的安排，相关所有费用</w:t>
      </w:r>
      <w:r>
        <w:rPr>
          <w:rFonts w:hint="eastAsia" w:ascii="宋体" w:hAnsi="宋体" w:cs="宋体"/>
          <w:kern w:val="0"/>
          <w:sz w:val="24"/>
          <w:szCs w:val="24"/>
        </w:rPr>
        <w:t>均已在措</w:t>
      </w:r>
      <w:r>
        <w:rPr>
          <w:rFonts w:hint="eastAsia" w:ascii="宋体" w:hAnsi="宋体" w:cs="宋体"/>
          <w:sz w:val="24"/>
          <w:szCs w:val="24"/>
        </w:rPr>
        <w:t>施费用报价中进行考虑。发包人不会接受承包人因此提出的索赔要求。</w:t>
      </w:r>
    </w:p>
    <w:p>
      <w:pPr>
        <w:pStyle w:val="2"/>
        <w:spacing w:before="0" w:after="0" w:line="276" w:lineRule="auto"/>
        <w:rPr>
          <w:rFonts w:ascii="宋体" w:hAnsi="宋体"/>
          <w:sz w:val="28"/>
          <w:szCs w:val="28"/>
        </w:rPr>
      </w:pPr>
      <w:bookmarkStart w:id="16" w:name="_Toc405535519"/>
      <w:bookmarkStart w:id="17" w:name="_Toc144459615"/>
      <w:r>
        <w:rPr>
          <w:rFonts w:hint="eastAsia" w:ascii="宋体" w:hAnsi="宋体"/>
          <w:sz w:val="28"/>
          <w:szCs w:val="28"/>
        </w:rPr>
        <w:t>2.  工期要求</w:t>
      </w:r>
      <w:bookmarkEnd w:id="16"/>
      <w:bookmarkEnd w:id="17"/>
    </w:p>
    <w:p>
      <w:pPr>
        <w:pStyle w:val="3"/>
        <w:spacing w:before="0" w:after="0" w:line="276" w:lineRule="auto"/>
        <w:ind w:firstLine="413" w:firstLineChars="196"/>
        <w:rPr>
          <w:rFonts w:ascii="宋体" w:hAnsi="宋体"/>
          <w:sz w:val="21"/>
          <w:szCs w:val="21"/>
        </w:rPr>
      </w:pPr>
      <w:bookmarkStart w:id="18" w:name="_Toc405535520"/>
      <w:bookmarkStart w:id="19" w:name="_Toc144459616"/>
      <w:r>
        <w:rPr>
          <w:rFonts w:hint="eastAsia" w:ascii="宋体" w:hAnsi="宋体"/>
          <w:sz w:val="21"/>
          <w:szCs w:val="21"/>
        </w:rPr>
        <w:t>2.1  开工日期</w:t>
      </w:r>
      <w:bookmarkEnd w:id="18"/>
      <w:bookmarkEnd w:id="19"/>
    </w:p>
    <w:p>
      <w:pPr>
        <w:spacing w:line="276" w:lineRule="auto"/>
        <w:ind w:firstLine="420" w:firstLineChars="200"/>
        <w:rPr>
          <w:rFonts w:hint="eastAsia" w:ascii="宋体" w:hAnsi="宋体" w:eastAsia="宋体"/>
          <w:lang w:eastAsia="zh-CN"/>
        </w:rPr>
      </w:pPr>
      <w:r>
        <w:rPr>
          <w:rFonts w:hint="eastAsia" w:ascii="宋体" w:hAnsi="宋体"/>
        </w:rPr>
        <w:t>计划开工日期：2</w:t>
      </w:r>
      <w:r>
        <w:rPr>
          <w:rFonts w:ascii="宋体" w:hAnsi="宋体"/>
        </w:rPr>
        <w:t>023</w:t>
      </w:r>
      <w:r>
        <w:rPr>
          <w:rFonts w:hint="eastAsia" w:ascii="宋体" w:hAnsi="宋体"/>
        </w:rPr>
        <w:t>年</w:t>
      </w:r>
      <w:r>
        <w:rPr>
          <w:rFonts w:hint="eastAsia" w:ascii="宋体" w:hAnsi="宋体"/>
          <w:lang w:val="en-US" w:eastAsia="zh-CN"/>
        </w:rPr>
        <w:t>12</w:t>
      </w:r>
      <w:r>
        <w:rPr>
          <w:rFonts w:hint="eastAsia" w:ascii="宋体" w:hAnsi="宋体"/>
        </w:rPr>
        <w:t>月</w:t>
      </w:r>
      <w:r>
        <w:rPr>
          <w:rFonts w:ascii="宋体" w:hAnsi="宋体"/>
        </w:rPr>
        <w:t>1</w:t>
      </w:r>
      <w:r>
        <w:rPr>
          <w:rFonts w:hint="eastAsia" w:ascii="宋体" w:hAnsi="宋体"/>
        </w:rPr>
        <w:t>日</w:t>
      </w:r>
    </w:p>
    <w:p>
      <w:pPr>
        <w:spacing w:line="276" w:lineRule="auto"/>
        <w:ind w:firstLine="420" w:firstLineChars="200"/>
        <w:rPr>
          <w:rFonts w:ascii="宋体" w:hAnsi="宋体"/>
        </w:rPr>
      </w:pPr>
      <w:r>
        <w:rPr>
          <w:rFonts w:hint="eastAsia" w:ascii="宋体" w:hAnsi="宋体"/>
        </w:rPr>
        <w:t>实际开工日期以发包人及监理人下发的书面开工通知为准。</w:t>
      </w:r>
    </w:p>
    <w:p>
      <w:pPr>
        <w:pStyle w:val="3"/>
        <w:spacing w:before="0" w:after="0" w:line="276" w:lineRule="auto"/>
        <w:ind w:firstLine="413" w:firstLineChars="196"/>
        <w:rPr>
          <w:rFonts w:ascii="宋体" w:hAnsi="宋体"/>
          <w:sz w:val="21"/>
          <w:szCs w:val="21"/>
        </w:rPr>
      </w:pPr>
      <w:bookmarkStart w:id="20" w:name="_Toc144459617"/>
      <w:bookmarkStart w:id="21" w:name="_Toc405535521"/>
      <w:r>
        <w:rPr>
          <w:rFonts w:hint="eastAsia" w:ascii="宋体" w:hAnsi="宋体"/>
          <w:sz w:val="21"/>
          <w:szCs w:val="21"/>
        </w:rPr>
        <w:t>2.2  竣工日期</w:t>
      </w:r>
      <w:bookmarkEnd w:id="20"/>
      <w:bookmarkEnd w:id="21"/>
    </w:p>
    <w:p>
      <w:pPr>
        <w:spacing w:line="276" w:lineRule="auto"/>
        <w:ind w:firstLine="420" w:firstLineChars="200"/>
        <w:rPr>
          <w:b/>
          <w:color w:val="0000FF"/>
          <w:szCs w:val="22"/>
        </w:rPr>
      </w:pPr>
      <w:r>
        <w:rPr>
          <w:rFonts w:hint="eastAsia" w:ascii="宋体" w:hAnsi="宋体"/>
          <w:lang w:val="en-US" w:eastAsia="zh-CN"/>
        </w:rPr>
        <w:t>绝对工期518天，</w:t>
      </w:r>
      <w:r>
        <w:rPr>
          <w:rFonts w:hint="eastAsia" w:ascii="宋体" w:hAnsi="宋体"/>
        </w:rPr>
        <w:t>竣工备案时间无论如何不能超出绝对工期，除非按照合同规定允许延长的情况。</w:t>
      </w:r>
    </w:p>
    <w:p>
      <w:pPr>
        <w:pStyle w:val="2"/>
        <w:spacing w:before="0" w:after="0" w:line="276" w:lineRule="auto"/>
        <w:rPr>
          <w:rFonts w:ascii="宋体" w:hAnsi="宋体"/>
          <w:sz w:val="28"/>
          <w:szCs w:val="28"/>
        </w:rPr>
      </w:pPr>
      <w:bookmarkStart w:id="22" w:name="_Toc405535523"/>
      <w:bookmarkStart w:id="23" w:name="_Toc144459619"/>
      <w:r>
        <w:rPr>
          <w:rFonts w:hint="eastAsia" w:ascii="宋体" w:hAnsi="宋体"/>
          <w:sz w:val="28"/>
          <w:szCs w:val="28"/>
        </w:rPr>
        <w:t>3.  质量标准</w:t>
      </w:r>
      <w:bookmarkEnd w:id="22"/>
      <w:bookmarkEnd w:id="23"/>
    </w:p>
    <w:p>
      <w:pPr>
        <w:spacing w:line="276" w:lineRule="auto"/>
        <w:ind w:firstLine="413" w:firstLineChars="196"/>
        <w:rPr>
          <w:rFonts w:ascii="宋体" w:hAnsi="宋体"/>
        </w:rPr>
      </w:pPr>
      <w:r>
        <w:rPr>
          <w:rFonts w:hint="eastAsia" w:ascii="宋体" w:hAnsi="宋体"/>
          <w:b/>
        </w:rPr>
        <w:t>工程质量标准：</w:t>
      </w:r>
      <w:r>
        <w:rPr>
          <w:rFonts w:hint="eastAsia" w:ascii="宋体" w:hAnsi="宋体"/>
        </w:rPr>
        <w:t>根据施工图设计文件及发包人技术要求施工，达到国家、地方现行有关规范、标准、规程规定以及承包合同约定的标准。</w:t>
      </w:r>
    </w:p>
    <w:p>
      <w:pPr>
        <w:pStyle w:val="2"/>
        <w:spacing w:before="0" w:after="0" w:line="276" w:lineRule="auto"/>
        <w:rPr>
          <w:rFonts w:ascii="宋体" w:hAnsi="宋体"/>
          <w:sz w:val="28"/>
          <w:szCs w:val="28"/>
        </w:rPr>
      </w:pPr>
      <w:bookmarkStart w:id="24" w:name="_Toc144459620"/>
      <w:bookmarkStart w:id="25" w:name="_Toc405535524"/>
      <w:r>
        <w:rPr>
          <w:rFonts w:hint="eastAsia" w:ascii="宋体" w:hAnsi="宋体"/>
          <w:sz w:val="28"/>
          <w:szCs w:val="28"/>
        </w:rPr>
        <w:t>4.  施工措施项目</w:t>
      </w:r>
      <w:bookmarkEnd w:id="24"/>
      <w:bookmarkEnd w:id="25"/>
    </w:p>
    <w:p>
      <w:pPr>
        <w:pStyle w:val="3"/>
        <w:spacing w:before="0" w:after="0" w:line="276" w:lineRule="auto"/>
        <w:ind w:firstLine="413" w:firstLineChars="196"/>
        <w:rPr>
          <w:rFonts w:ascii="宋体" w:hAnsi="宋体"/>
          <w:sz w:val="21"/>
          <w:szCs w:val="21"/>
        </w:rPr>
      </w:pPr>
      <w:bookmarkStart w:id="26" w:name="_Toc144459621"/>
      <w:bookmarkStart w:id="27" w:name="_Toc405535525"/>
      <w:r>
        <w:rPr>
          <w:rFonts w:hint="eastAsia" w:ascii="宋体" w:hAnsi="宋体"/>
          <w:sz w:val="21"/>
          <w:szCs w:val="21"/>
        </w:rPr>
        <w:t>4.1  临时设施</w:t>
      </w:r>
      <w:bookmarkEnd w:id="26"/>
      <w:bookmarkEnd w:id="27"/>
    </w:p>
    <w:p>
      <w:pPr>
        <w:spacing w:line="276" w:lineRule="auto"/>
        <w:ind w:firstLine="420" w:firstLineChars="200"/>
        <w:rPr>
          <w:rFonts w:ascii="宋体" w:hAnsi="宋体"/>
        </w:rPr>
      </w:pPr>
      <w:bookmarkStart w:id="28" w:name="_Toc167070299"/>
      <w:bookmarkStart w:id="29" w:name="_Toc166395980"/>
      <w:r>
        <w:rPr>
          <w:rFonts w:hint="eastAsia" w:ascii="宋体" w:hAnsi="宋体"/>
        </w:rPr>
        <w:t>4.1.1</w:t>
      </w:r>
      <w:r>
        <w:rPr>
          <w:rFonts w:ascii="宋体" w:hAnsi="宋体"/>
        </w:rPr>
        <w:t>现场</w:t>
      </w:r>
      <w:r>
        <w:rPr>
          <w:rFonts w:hint="eastAsia" w:ascii="宋体" w:hAnsi="宋体"/>
        </w:rPr>
        <w:t>施工总</w:t>
      </w:r>
      <w:r>
        <w:rPr>
          <w:rFonts w:ascii="宋体" w:hAnsi="宋体"/>
        </w:rPr>
        <w:t>平面布置</w:t>
      </w:r>
      <w:bookmarkEnd w:id="28"/>
      <w:bookmarkEnd w:id="29"/>
    </w:p>
    <w:p>
      <w:pPr>
        <w:spacing w:line="276" w:lineRule="auto"/>
        <w:ind w:firstLine="420" w:firstLineChars="200"/>
        <w:rPr>
          <w:rFonts w:ascii="宋体" w:hAnsi="宋体"/>
        </w:rPr>
      </w:pPr>
      <w:r>
        <w:rPr>
          <w:rFonts w:ascii="宋体" w:hAnsi="宋体"/>
        </w:rPr>
        <w:t>在工程开工前，承包人应根据工程现场实际情况</w:t>
      </w:r>
      <w:r>
        <w:rPr>
          <w:rFonts w:hint="eastAsia" w:ascii="宋体" w:hAnsi="宋体"/>
        </w:rPr>
        <w:t>、《中铁建工集团临建标准化强制做法管理手册（1.0版）》及发包人提供的道路布置要求</w:t>
      </w:r>
      <w:r>
        <w:rPr>
          <w:rFonts w:ascii="宋体" w:hAnsi="宋体"/>
        </w:rPr>
        <w:t>设计现场所有临建、临时设施的总平面布置图，图纸上应明示发包人、监理工程师、承包人、分包人办公区域划分，以及包括材料堆场、加工场、实验室、生活区、现场临时通道、出入口等。承包人设计的总平面布置图应连同由其负责建造的临时建筑的做法说明一起报发包人和监理工程师审批，发包人和监理工程师可就布置图和做法发出修改意见的指示，承包人应相应遵照执行。</w:t>
      </w:r>
      <w:r>
        <w:rPr>
          <w:rFonts w:hint="eastAsia" w:ascii="宋体" w:hAnsi="宋体"/>
        </w:rPr>
        <w:t>在总平布置未通过前，不允许擅自搭建临设，否则，发包人或</w:t>
      </w:r>
      <w:r>
        <w:rPr>
          <w:rFonts w:ascii="宋体" w:hAnsi="宋体"/>
        </w:rPr>
        <w:t>监理工程师</w:t>
      </w:r>
      <w:r>
        <w:rPr>
          <w:rFonts w:hint="eastAsia" w:ascii="宋体" w:hAnsi="宋体"/>
        </w:rPr>
        <w:t>有权要求拆除并予以相应的处罚。</w:t>
      </w:r>
    </w:p>
    <w:p>
      <w:pPr>
        <w:spacing w:line="276" w:lineRule="auto"/>
        <w:ind w:firstLine="420" w:firstLineChars="200"/>
        <w:rPr>
          <w:rFonts w:ascii="宋体" w:hAnsi="宋体"/>
        </w:rPr>
      </w:pPr>
      <w:bookmarkStart w:id="30" w:name="_Toc167070300"/>
      <w:bookmarkStart w:id="31" w:name="_Toc166395981"/>
      <w:r>
        <w:rPr>
          <w:rFonts w:hint="eastAsia" w:ascii="宋体" w:hAnsi="宋体"/>
        </w:rPr>
        <w:t xml:space="preserve">4.1.2 </w:t>
      </w:r>
      <w:r>
        <w:rPr>
          <w:rFonts w:ascii="宋体" w:hAnsi="宋体"/>
        </w:rPr>
        <w:t>现场的通道</w:t>
      </w:r>
      <w:bookmarkEnd w:id="30"/>
      <w:bookmarkEnd w:id="31"/>
    </w:p>
    <w:p>
      <w:pPr>
        <w:spacing w:line="276" w:lineRule="auto"/>
        <w:ind w:firstLine="420" w:firstLineChars="200"/>
        <w:rPr>
          <w:rFonts w:ascii="宋体" w:hAnsi="宋体"/>
        </w:rPr>
      </w:pPr>
      <w:r>
        <w:rPr>
          <w:rFonts w:hint="eastAsia" w:ascii="宋体" w:hAnsi="宋体"/>
        </w:rPr>
        <w:t xml:space="preserve">4.1.2.1  </w:t>
      </w:r>
      <w:r>
        <w:rPr>
          <w:rFonts w:ascii="宋体" w:hAnsi="宋体"/>
        </w:rPr>
        <w:t>承包人负责修整现场的出入通道、临时道路、施工区，确保其适用于施工期间</w:t>
      </w:r>
      <w:r>
        <w:rPr>
          <w:rFonts w:hint="eastAsia" w:ascii="宋体" w:hAnsi="宋体"/>
        </w:rPr>
        <w:t>，承包人应详细踏勘现场，</w:t>
      </w:r>
      <w:r>
        <w:rPr>
          <w:rFonts w:ascii="宋体" w:hAnsi="宋体"/>
        </w:rPr>
        <w:t>现场内的所有通道都</w:t>
      </w:r>
      <w:r>
        <w:rPr>
          <w:rFonts w:hint="eastAsia" w:ascii="宋体" w:hAnsi="宋体"/>
          <w:color w:val="auto"/>
        </w:rPr>
        <w:t>保持</w:t>
      </w:r>
      <w:r>
        <w:rPr>
          <w:rFonts w:ascii="宋体" w:hAnsi="宋体"/>
        </w:rPr>
        <w:t>全天候</w:t>
      </w:r>
      <w:r>
        <w:rPr>
          <w:rFonts w:hint="eastAsia" w:ascii="宋体" w:hAnsi="宋体"/>
        </w:rPr>
        <w:t>通行</w:t>
      </w:r>
      <w:r>
        <w:rPr>
          <w:rFonts w:ascii="宋体" w:hAnsi="宋体"/>
        </w:rPr>
        <w:t>的</w:t>
      </w:r>
      <w:r>
        <w:rPr>
          <w:rFonts w:hint="eastAsia" w:ascii="宋体" w:hAnsi="宋体"/>
        </w:rPr>
        <w:t>，</w:t>
      </w:r>
      <w:r>
        <w:rPr>
          <w:rFonts w:hint="eastAsia" w:ascii="宋体" w:hAnsi="宋体"/>
          <w:color w:val="auto"/>
        </w:rPr>
        <w:t>若因外界因素（包括但不限于政府、市政因素等）导致道路封闭或不通，承包人应有能力自行解决以上问题，</w:t>
      </w:r>
      <w:r>
        <w:rPr>
          <w:rFonts w:hint="eastAsia" w:ascii="宋体" w:hAnsi="宋体"/>
        </w:rPr>
        <w:t>因道路不通产生的所有损失由承包人负责，工期不予顺延</w:t>
      </w:r>
      <w:r>
        <w:rPr>
          <w:rFonts w:ascii="宋体" w:hAnsi="宋体"/>
        </w:rPr>
        <w:t>。</w:t>
      </w:r>
    </w:p>
    <w:p>
      <w:pPr>
        <w:spacing w:line="276" w:lineRule="auto"/>
        <w:ind w:firstLine="420" w:firstLineChars="200"/>
        <w:rPr>
          <w:rFonts w:ascii="宋体" w:hAnsi="宋体"/>
        </w:rPr>
      </w:pPr>
      <w:r>
        <w:rPr>
          <w:rFonts w:hint="eastAsia" w:ascii="宋体" w:hAnsi="宋体"/>
        </w:rPr>
        <w:t xml:space="preserve">4.1.2.2  </w:t>
      </w:r>
      <w:r>
        <w:rPr>
          <w:rFonts w:ascii="宋体" w:hAnsi="宋体"/>
        </w:rPr>
        <w:t>承包人负责向有关部门申请批准施工期间使用现有市政道路、设施及其它范围，支付上述所需费用、押金以及自费修复由</w:t>
      </w:r>
      <w:r>
        <w:rPr>
          <w:rFonts w:ascii="宋体" w:hAnsi="宋体"/>
          <w:kern w:val="0"/>
        </w:rPr>
        <w:t>于其</w:t>
      </w:r>
      <w:r>
        <w:rPr>
          <w:rFonts w:hint="eastAsia" w:ascii="宋体" w:hAnsi="宋体"/>
          <w:kern w:val="0"/>
        </w:rPr>
        <w:t>导致</w:t>
      </w:r>
      <w:r>
        <w:rPr>
          <w:rFonts w:ascii="宋体" w:hAnsi="宋体"/>
          <w:kern w:val="0"/>
        </w:rPr>
        <w:t>的一</w:t>
      </w:r>
      <w:r>
        <w:rPr>
          <w:rFonts w:ascii="宋体" w:hAnsi="宋体"/>
        </w:rPr>
        <w:t>切损毁和损害。</w:t>
      </w:r>
    </w:p>
    <w:p>
      <w:pPr>
        <w:spacing w:line="276" w:lineRule="auto"/>
        <w:ind w:firstLine="420" w:firstLineChars="200"/>
        <w:rPr>
          <w:rFonts w:ascii="宋体" w:hAnsi="宋体"/>
        </w:rPr>
      </w:pPr>
      <w:r>
        <w:rPr>
          <w:rFonts w:hint="eastAsia" w:ascii="宋体" w:hAnsi="宋体"/>
        </w:rPr>
        <w:t xml:space="preserve">4.1.2.3  </w:t>
      </w:r>
      <w:r>
        <w:rPr>
          <w:rFonts w:ascii="宋体" w:hAnsi="宋体"/>
        </w:rPr>
        <w:t>承包人需负责场外邻近道路的硬质防护</w:t>
      </w:r>
      <w:r>
        <w:rPr>
          <w:rFonts w:hint="eastAsia" w:ascii="宋体" w:hAnsi="宋体"/>
        </w:rPr>
        <w:t>及维护</w:t>
      </w:r>
      <w:r>
        <w:rPr>
          <w:rFonts w:ascii="宋体" w:hAnsi="宋体"/>
        </w:rPr>
        <w:t>工作，直至政府相关机构或发包人同意时方可解除，承包人亦需负责拆除、恢复及清理。</w:t>
      </w:r>
    </w:p>
    <w:p>
      <w:pPr>
        <w:spacing w:line="276" w:lineRule="auto"/>
        <w:ind w:firstLine="420" w:firstLineChars="200"/>
        <w:rPr>
          <w:rFonts w:ascii="宋体" w:hAnsi="宋体"/>
        </w:rPr>
      </w:pPr>
      <w:r>
        <w:rPr>
          <w:rFonts w:hint="eastAsia" w:ascii="宋体" w:hAnsi="宋体"/>
        </w:rPr>
        <w:t xml:space="preserve">4.1.2.4  </w:t>
      </w:r>
      <w:r>
        <w:rPr>
          <w:rFonts w:ascii="宋体" w:hAnsi="宋体"/>
        </w:rPr>
        <w:t>现场出入口可能在施工期间会根据发包人要求增减或移位，承包人应自费负责上述开口的增减、移位及修复工作</w:t>
      </w:r>
      <w:r>
        <w:rPr>
          <w:rFonts w:hint="eastAsia" w:ascii="宋体" w:hAnsi="宋体"/>
        </w:rPr>
        <w:t>，不得因此向发包人提出费用索赔</w:t>
      </w:r>
      <w:r>
        <w:rPr>
          <w:rFonts w:ascii="宋体" w:hAnsi="宋体"/>
        </w:rPr>
        <w:t>。</w:t>
      </w:r>
    </w:p>
    <w:p>
      <w:pPr>
        <w:spacing w:line="276" w:lineRule="auto"/>
        <w:ind w:firstLine="420" w:firstLineChars="200"/>
        <w:rPr>
          <w:rFonts w:ascii="宋体" w:hAnsi="宋体"/>
        </w:rPr>
      </w:pPr>
      <w:r>
        <w:rPr>
          <w:rFonts w:hint="eastAsia" w:ascii="宋体" w:hAnsi="宋体"/>
        </w:rPr>
        <w:t xml:space="preserve">4.1.2.5  </w:t>
      </w:r>
      <w:r>
        <w:rPr>
          <w:rFonts w:ascii="宋体" w:hAnsi="宋体"/>
        </w:rPr>
        <w:t>现场内的临时道路应考虑形成环路，以满足现场临时消防的需要，承包人亦须同时确保有符合当地有关规定的消防紧急车道于发生紧急事故时供停泊消防车使用。</w:t>
      </w:r>
    </w:p>
    <w:p>
      <w:pPr>
        <w:spacing w:line="276" w:lineRule="auto"/>
        <w:ind w:firstLine="420" w:firstLineChars="200"/>
        <w:rPr>
          <w:rFonts w:ascii="宋体" w:hAnsi="宋体"/>
        </w:rPr>
      </w:pPr>
      <w:r>
        <w:rPr>
          <w:rFonts w:hint="eastAsia" w:ascii="宋体" w:hAnsi="宋体"/>
        </w:rPr>
        <w:t>4.1.2.6  通道两侧应设置排水沟，宽度及高度不小于30cm，并留好坡度，通过三级沉淀池，排入市政雨水井或指定位置；</w:t>
      </w:r>
    </w:p>
    <w:p>
      <w:pPr>
        <w:spacing w:line="276" w:lineRule="auto"/>
        <w:ind w:firstLine="420" w:firstLineChars="200"/>
        <w:rPr>
          <w:rFonts w:ascii="宋体" w:hAnsi="宋体"/>
        </w:rPr>
      </w:pPr>
      <w:r>
        <w:rPr>
          <w:rFonts w:hint="eastAsia" w:ascii="宋体" w:hAnsi="宋体"/>
        </w:rPr>
        <w:t>4.1.2.7  搅拌机场地必须硬化，且须在旁边设置沉淀池，沉淀池排水沟与通道排水沟连通；</w:t>
      </w:r>
    </w:p>
    <w:p>
      <w:pPr>
        <w:spacing w:line="276" w:lineRule="auto"/>
        <w:ind w:firstLine="420" w:firstLineChars="200"/>
        <w:rPr>
          <w:rFonts w:ascii="宋体" w:hAnsi="宋体"/>
        </w:rPr>
      </w:pPr>
      <w:r>
        <w:rPr>
          <w:rFonts w:hint="eastAsia" w:ascii="宋体" w:hAnsi="宋体"/>
        </w:rPr>
        <w:t>4.1.2.9  工地出入口必须设置洗车槽及三级沉淀池，出入车辆严格冲洗，严禁带泥上路。</w:t>
      </w:r>
    </w:p>
    <w:p>
      <w:pPr>
        <w:spacing w:line="276" w:lineRule="auto"/>
        <w:ind w:firstLine="420" w:firstLineChars="200"/>
        <w:rPr>
          <w:rFonts w:ascii="宋体" w:hAnsi="宋体"/>
          <w:color w:val="auto"/>
        </w:rPr>
      </w:pPr>
      <w:r>
        <w:rPr>
          <w:rFonts w:hint="eastAsia" w:ascii="宋体" w:hAnsi="宋体"/>
        </w:rPr>
        <w:t>4.1.2.10 场地平整按照无高差原则，保证场地排水畅通，平整后高差不超过20cm。</w:t>
      </w:r>
      <w:r>
        <w:rPr>
          <w:rFonts w:hint="eastAsia"/>
        </w:rPr>
        <w:t>是补偿费用否</w:t>
      </w:r>
    </w:p>
    <w:p>
      <w:pPr>
        <w:spacing w:line="276" w:lineRule="auto"/>
        <w:ind w:firstLine="420" w:firstLineChars="200"/>
        <w:rPr>
          <w:rFonts w:ascii="宋体" w:hAnsi="宋体"/>
          <w:color w:val="auto"/>
        </w:rPr>
      </w:pPr>
      <w:r>
        <w:rPr>
          <w:rFonts w:ascii="宋体" w:hAnsi="宋体"/>
          <w:color w:val="auto"/>
        </w:rPr>
        <w:t xml:space="preserve">4.1.2.11 </w:t>
      </w:r>
      <w:r>
        <w:rPr>
          <w:rFonts w:hint="eastAsia" w:ascii="宋体" w:hAnsi="宋体"/>
          <w:color w:val="auto"/>
        </w:rPr>
        <w:t>若因站房参观、站房内装修完成、钢栈桥拆除、消防车道未施工完成形成环路、东南侧及东北侧匝道未接通、剩余盖板浇筑未完成等导致道路封闭导致道路封闭或不通，承包人应有能力自行解决以上问题，因道路不通产生的所有损失由承包人负责，工期不予顺延</w:t>
      </w:r>
      <w:r>
        <w:rPr>
          <w:rFonts w:ascii="宋体" w:hAnsi="宋体"/>
          <w:color w:val="auto"/>
        </w:rPr>
        <w:t>。</w:t>
      </w:r>
    </w:p>
    <w:p>
      <w:pPr>
        <w:spacing w:line="276" w:lineRule="auto"/>
        <w:ind w:firstLine="420" w:firstLineChars="200"/>
        <w:rPr>
          <w:rFonts w:ascii="宋体" w:hAnsi="宋体"/>
          <w:color w:val="auto"/>
        </w:rPr>
      </w:pPr>
      <w:r>
        <w:rPr>
          <w:rFonts w:ascii="宋体" w:hAnsi="宋体"/>
          <w:color w:val="auto"/>
        </w:rPr>
        <w:t xml:space="preserve">4.1.2.12 </w:t>
      </w:r>
      <w:r>
        <w:rPr>
          <w:rFonts w:hint="eastAsia" w:ascii="宋体" w:hAnsi="宋体"/>
          <w:color w:val="auto"/>
        </w:rPr>
        <w:t>承包人须针对现场交通组织制定切实可行的专项方案，经监理人及发包人审批通过后执行。</w:t>
      </w:r>
    </w:p>
    <w:p>
      <w:pPr>
        <w:spacing w:line="276" w:lineRule="auto"/>
        <w:ind w:firstLine="420" w:firstLineChars="200"/>
        <w:rPr>
          <w:rFonts w:ascii="宋体" w:hAnsi="宋体"/>
        </w:rPr>
      </w:pPr>
      <w:bookmarkStart w:id="32" w:name="_Toc167070301"/>
      <w:bookmarkStart w:id="33" w:name="_Toc166395982"/>
      <w:r>
        <w:rPr>
          <w:rFonts w:hint="eastAsia" w:ascii="宋体" w:hAnsi="宋体"/>
        </w:rPr>
        <w:t xml:space="preserve">4.1.3  </w:t>
      </w:r>
      <w:r>
        <w:rPr>
          <w:rFonts w:ascii="宋体" w:hAnsi="宋体"/>
        </w:rPr>
        <w:t>车路及人行道</w:t>
      </w:r>
      <w:bookmarkEnd w:id="32"/>
      <w:bookmarkEnd w:id="33"/>
    </w:p>
    <w:p>
      <w:pPr>
        <w:spacing w:line="276" w:lineRule="auto"/>
        <w:ind w:firstLine="420" w:firstLineChars="200"/>
        <w:rPr>
          <w:rFonts w:ascii="宋体" w:hAnsi="宋体"/>
        </w:rPr>
      </w:pPr>
      <w:r>
        <w:rPr>
          <w:rFonts w:hint="eastAsia" w:ascii="宋体" w:hAnsi="宋体"/>
        </w:rPr>
        <w:t xml:space="preserve">4.1.3.1  </w:t>
      </w:r>
      <w:r>
        <w:rPr>
          <w:rFonts w:ascii="宋体" w:hAnsi="宋体"/>
        </w:rPr>
        <w:t>承包人需确保通往现场及其周围的车路、人行道的顺畅</w:t>
      </w:r>
      <w:r>
        <w:rPr>
          <w:rFonts w:hint="eastAsia" w:ascii="宋体" w:hAnsi="宋体"/>
          <w:color w:val="auto"/>
        </w:rPr>
        <w:t>（若道路封堵，承包人须自行解决）</w:t>
      </w:r>
      <w:r>
        <w:rPr>
          <w:rFonts w:ascii="宋体" w:hAnsi="宋体"/>
        </w:rPr>
        <w:t>，负责随时清理通往现场及其周围的车路、人行道上的建筑垃圾，如：施工所产生的障碍物、泥土、垃圾、岩石等。承包人的车辆、工人、脚手架、施工机械及材料在任何情况下都不能对交通或其他人造成不便或阻碍。承包人需负责清洗所有离开现场的车辆及机械（不论其所有权），确保不将泥土、泥浆、垃圾等掉于路上。</w:t>
      </w:r>
      <w:r>
        <w:rPr>
          <w:rFonts w:hint="eastAsia" w:ascii="宋体" w:hAnsi="宋体"/>
        </w:rPr>
        <w:t>否则处以1000元/次的罚款。</w:t>
      </w:r>
    </w:p>
    <w:p>
      <w:pPr>
        <w:spacing w:line="276" w:lineRule="auto"/>
        <w:ind w:firstLine="420" w:firstLineChars="200"/>
        <w:rPr>
          <w:rFonts w:ascii="宋体" w:hAnsi="宋体"/>
        </w:rPr>
      </w:pPr>
      <w:r>
        <w:rPr>
          <w:rFonts w:hint="eastAsia" w:ascii="宋体" w:hAnsi="宋体"/>
        </w:rPr>
        <w:t xml:space="preserve">4.1.3.2  </w:t>
      </w:r>
      <w:r>
        <w:rPr>
          <w:rFonts w:ascii="宋体" w:hAnsi="宋体"/>
        </w:rPr>
        <w:t>承包人需确保所有离开现场的车辆及机械（不论其所有权）</w:t>
      </w:r>
      <w:r>
        <w:rPr>
          <w:rFonts w:hint="eastAsia" w:ascii="宋体" w:hAnsi="宋体"/>
        </w:rPr>
        <w:t>不超重、超速行驶</w:t>
      </w:r>
      <w:r>
        <w:rPr>
          <w:rFonts w:ascii="宋体" w:hAnsi="宋体"/>
        </w:rPr>
        <w:t>及</w:t>
      </w:r>
      <w:r>
        <w:rPr>
          <w:rFonts w:hint="eastAsia" w:ascii="宋体" w:hAnsi="宋体"/>
        </w:rPr>
        <w:t>封闭运输</w:t>
      </w:r>
      <w:r>
        <w:rPr>
          <w:rFonts w:ascii="宋体" w:hAnsi="宋体"/>
        </w:rPr>
        <w:t>，以免在运载途中溢出或掉落任何垃圾或材料。</w:t>
      </w:r>
    </w:p>
    <w:p>
      <w:pPr>
        <w:spacing w:line="276" w:lineRule="auto"/>
        <w:ind w:firstLine="420" w:firstLineChars="200"/>
        <w:rPr>
          <w:rFonts w:ascii="宋体" w:hAnsi="宋体"/>
        </w:rPr>
      </w:pPr>
      <w:r>
        <w:rPr>
          <w:rFonts w:hint="eastAsia" w:ascii="宋体" w:hAnsi="宋体"/>
        </w:rPr>
        <w:t>4.1.3.3  在施工过程中，承包人如需将车路设置在地下室顶板上则需对顶板承载力进行复核并在需要时进行必要的加固（费用由承包人承担），确保结构的安全性和使用功能不受影响。否则承包人将无条件承担由此造成的一切后果。</w:t>
      </w:r>
    </w:p>
    <w:p>
      <w:pPr>
        <w:spacing w:line="276" w:lineRule="auto"/>
        <w:ind w:firstLine="420" w:firstLineChars="200"/>
        <w:rPr>
          <w:rFonts w:ascii="宋体" w:hAnsi="宋体"/>
        </w:rPr>
      </w:pPr>
      <w:r>
        <w:rPr>
          <w:rFonts w:hint="eastAsia" w:ascii="宋体" w:hAnsi="宋体"/>
        </w:rPr>
        <w:t xml:space="preserve">4.1.3.4  </w:t>
      </w:r>
      <w:r>
        <w:rPr>
          <w:rFonts w:ascii="宋体" w:hAnsi="宋体"/>
        </w:rPr>
        <w:t>承包人</w:t>
      </w:r>
      <w:r>
        <w:rPr>
          <w:rFonts w:hint="eastAsia" w:ascii="宋体" w:hAnsi="宋体"/>
        </w:rPr>
        <w:t>除对其标段围墙内相对应的道路进行日常维护、看管及清扫外，尚应对场地外的周边道路进行日常维护、清扫等，保持道路畅通、清洁，满足文明工地的需要。如果因</w:t>
      </w:r>
      <w:r>
        <w:rPr>
          <w:rFonts w:ascii="宋体" w:hAnsi="宋体"/>
        </w:rPr>
        <w:t>承包人</w:t>
      </w:r>
      <w:r>
        <w:rPr>
          <w:rFonts w:hint="eastAsia" w:ascii="宋体" w:hAnsi="宋体"/>
        </w:rPr>
        <w:t>或分包人使用造成道路破损，总包应无偿进行及时修复，上述相关费用请考虑在投标报价中。</w:t>
      </w:r>
    </w:p>
    <w:p>
      <w:pPr>
        <w:spacing w:line="276" w:lineRule="auto"/>
        <w:ind w:firstLine="420" w:firstLineChars="200"/>
        <w:rPr>
          <w:rFonts w:ascii="宋体" w:hAnsi="宋体"/>
        </w:rPr>
      </w:pPr>
      <w:r>
        <w:rPr>
          <w:rFonts w:hint="eastAsia" w:ascii="宋体" w:hAnsi="宋体"/>
        </w:rPr>
        <w:t>4.1.3.5  如承包人在施工过程中拒不修复或清理则发包人有权指定第三方进行修复清理，费用</w:t>
      </w:r>
      <w:r>
        <w:rPr>
          <w:rFonts w:hint="eastAsia" w:ascii="宋体" w:hAnsi="宋体"/>
          <w:kern w:val="0"/>
        </w:rPr>
        <w:t>从承包人</w:t>
      </w:r>
      <w:r>
        <w:rPr>
          <w:rFonts w:hint="eastAsia" w:ascii="宋体" w:hAnsi="宋体"/>
        </w:rPr>
        <w:t>工程款中直接扣除。</w:t>
      </w:r>
    </w:p>
    <w:p>
      <w:pPr>
        <w:spacing w:line="276" w:lineRule="auto"/>
        <w:ind w:firstLine="420" w:firstLineChars="200"/>
        <w:rPr>
          <w:rFonts w:ascii="宋体" w:hAnsi="宋体"/>
        </w:rPr>
      </w:pPr>
      <w:r>
        <w:rPr>
          <w:rFonts w:hint="eastAsia" w:ascii="宋体" w:hAnsi="宋体"/>
        </w:rPr>
        <w:t xml:space="preserve">4.1.4  </w:t>
      </w:r>
      <w:r>
        <w:rPr>
          <w:rFonts w:ascii="宋体" w:hAnsi="宋体"/>
        </w:rPr>
        <w:t>发包人的现场办公室、监理工程师的现场办公室及宿舍</w:t>
      </w:r>
    </w:p>
    <w:p>
      <w:pPr>
        <w:spacing w:line="276" w:lineRule="auto"/>
        <w:ind w:firstLine="420" w:firstLineChars="200"/>
        <w:rPr>
          <w:rFonts w:ascii="宋体" w:hAnsi="宋体"/>
        </w:rPr>
      </w:pPr>
      <w:r>
        <w:rPr>
          <w:rFonts w:hint="eastAsia" w:ascii="宋体" w:hAnsi="宋体"/>
        </w:rPr>
        <w:t xml:space="preserve">4.1.4.1  </w:t>
      </w:r>
      <w:r>
        <w:rPr>
          <w:rFonts w:ascii="宋体" w:hAnsi="宋体"/>
        </w:rPr>
        <w:t>承包人应</w:t>
      </w:r>
      <w:r>
        <w:rPr>
          <w:rFonts w:hint="eastAsia" w:ascii="宋体" w:hAnsi="宋体"/>
        </w:rPr>
        <w:t>提供一间能够容纳 30 人开会的大会议室供发包人、总承包人、各分包单位召开工程例会使用。并</w:t>
      </w:r>
      <w:r>
        <w:rPr>
          <w:rFonts w:ascii="宋体" w:hAnsi="宋体"/>
        </w:rPr>
        <w:t>为发包人和监理工程师提供现场临时办公室、会议室、样品间、监理工程师宿舍、卫生间等</w:t>
      </w:r>
      <w:r>
        <w:rPr>
          <w:rFonts w:hint="eastAsia" w:ascii="宋体" w:hAnsi="宋体"/>
        </w:rPr>
        <w:t>。</w:t>
      </w:r>
      <w:r>
        <w:t>承包人免费提供给发包人办公用房6</w:t>
      </w:r>
      <w:r>
        <w:rPr>
          <w:rFonts w:hint="eastAsia"/>
        </w:rPr>
        <w:t>间</w:t>
      </w:r>
      <w:r>
        <w:t>，监理人办公用房3间，办公用房需求如有调整，承包人应无条件配合</w:t>
      </w:r>
      <w:r>
        <w:rPr>
          <w:rFonts w:hint="eastAsia"/>
        </w:rPr>
        <w:t>，办公室要求通电、饮水机、通网、包含空调、办工桌椅、文件柜等</w:t>
      </w:r>
      <w:r>
        <w:t>。</w:t>
      </w:r>
      <w:r>
        <w:rPr>
          <w:rFonts w:hint="eastAsia" w:ascii="宋体" w:hAnsi="宋体"/>
        </w:rPr>
        <w:t>地面贴地面砖，楼面铺复合地板，整体布置应征得</w:t>
      </w:r>
      <w:r>
        <w:rPr>
          <w:rFonts w:ascii="宋体" w:hAnsi="宋体"/>
        </w:rPr>
        <w:t>发包人和监理工程师</w:t>
      </w:r>
      <w:r>
        <w:rPr>
          <w:rFonts w:hint="eastAsia" w:ascii="宋体" w:hAnsi="宋体"/>
        </w:rPr>
        <w:t>同</w:t>
      </w:r>
      <w:r>
        <w:rPr>
          <w:rFonts w:ascii="宋体" w:hAnsi="宋体"/>
        </w:rPr>
        <w:t>意。</w:t>
      </w:r>
    </w:p>
    <w:p>
      <w:pPr>
        <w:spacing w:line="276" w:lineRule="auto"/>
        <w:ind w:firstLine="420" w:firstLineChars="200"/>
        <w:rPr>
          <w:rFonts w:ascii="宋体" w:hAnsi="宋体"/>
        </w:rPr>
      </w:pPr>
      <w:r>
        <w:rPr>
          <w:rFonts w:hint="eastAsia" w:ascii="宋体" w:hAnsi="宋体"/>
        </w:rPr>
        <w:t xml:space="preserve">4.1.4.2  </w:t>
      </w:r>
      <w:r>
        <w:rPr>
          <w:rFonts w:ascii="宋体" w:hAnsi="宋体"/>
        </w:rPr>
        <w:t>承包人在施工期间负责上述临时设施的适当保护，保证用水、用电、排污及电话线、网络线处于良好状况。承包人负责工程竣工后</w:t>
      </w:r>
      <w:r>
        <w:rPr>
          <w:rFonts w:hint="eastAsia" w:ascii="宋体" w:hAnsi="宋体"/>
        </w:rPr>
        <w:t>或根据发包人要求</w:t>
      </w:r>
      <w:r>
        <w:rPr>
          <w:rFonts w:ascii="宋体" w:hAnsi="宋体"/>
        </w:rPr>
        <w:t>拆除和搬走临时建筑并修复现场，或者根据发包人要求保留、移交临时建筑。</w:t>
      </w:r>
    </w:p>
    <w:p>
      <w:pPr>
        <w:spacing w:line="276" w:lineRule="auto"/>
        <w:ind w:firstLine="420" w:firstLineChars="200"/>
        <w:rPr>
          <w:rFonts w:ascii="宋体" w:hAnsi="宋体"/>
        </w:rPr>
      </w:pPr>
      <w:r>
        <w:rPr>
          <w:rFonts w:hint="eastAsia" w:ascii="宋体" w:hAnsi="宋体"/>
        </w:rPr>
        <w:t xml:space="preserve">4.1.4.3  </w:t>
      </w:r>
      <w:r>
        <w:rPr>
          <w:rFonts w:ascii="宋体" w:hAnsi="宋体"/>
        </w:rPr>
        <w:t>承包人为发包人和监理工程师提供的现场临时办公室应配备足够的</w:t>
      </w:r>
      <w:r>
        <w:rPr>
          <w:rFonts w:hint="eastAsia" w:ascii="宋体" w:hAnsi="宋体"/>
        </w:rPr>
        <w:t>供电、</w:t>
      </w:r>
      <w:r>
        <w:rPr>
          <w:rFonts w:ascii="宋体" w:hAnsi="宋体"/>
        </w:rPr>
        <w:t>照明和空调和暖气</w:t>
      </w:r>
      <w:r>
        <w:rPr>
          <w:rFonts w:hint="eastAsia" w:ascii="宋体" w:hAnsi="宋体"/>
        </w:rPr>
        <w:t>的</w:t>
      </w:r>
      <w:r>
        <w:rPr>
          <w:rFonts w:ascii="宋体" w:hAnsi="宋体"/>
        </w:rPr>
        <w:t>电源插座，电话及网络接口；发包人和监理工程师现场所须的其它办公设备由</w:t>
      </w:r>
      <w:r>
        <w:rPr>
          <w:rFonts w:hint="eastAsia" w:ascii="宋体" w:hAnsi="宋体"/>
        </w:rPr>
        <w:t>各自负责</w:t>
      </w:r>
      <w:r>
        <w:rPr>
          <w:rFonts w:ascii="宋体" w:hAnsi="宋体"/>
        </w:rPr>
        <w:t>；办公室平面分隔和布置以及结构安全性设计验算应</w:t>
      </w:r>
      <w:r>
        <w:rPr>
          <w:rFonts w:hint="eastAsia" w:ascii="宋体" w:hAnsi="宋体"/>
        </w:rPr>
        <w:t>符合要求</w:t>
      </w:r>
      <w:r>
        <w:rPr>
          <w:rFonts w:ascii="宋体" w:hAnsi="宋体"/>
        </w:rPr>
        <w:t>。</w:t>
      </w:r>
    </w:p>
    <w:p>
      <w:pPr>
        <w:spacing w:line="276" w:lineRule="auto"/>
        <w:ind w:firstLine="420" w:firstLineChars="200"/>
        <w:rPr>
          <w:rFonts w:ascii="宋体" w:hAnsi="宋体"/>
        </w:rPr>
      </w:pPr>
      <w:r>
        <w:rPr>
          <w:rFonts w:hint="eastAsia" w:ascii="宋体" w:hAnsi="宋体"/>
        </w:rPr>
        <w:t>4.1.4.4  承包人应为发包人提供宿舍3间，为监理工程师提供宿舍4间，</w:t>
      </w:r>
      <w:r>
        <w:rPr>
          <w:rFonts w:ascii="宋体" w:hAnsi="宋体"/>
        </w:rPr>
        <w:t>宿舍</w:t>
      </w:r>
      <w:r>
        <w:rPr>
          <w:rFonts w:hint="eastAsia" w:ascii="宋体" w:hAnsi="宋体"/>
        </w:rPr>
        <w:t>可结合办公室布置</w:t>
      </w:r>
      <w:r>
        <w:rPr>
          <w:rFonts w:ascii="宋体" w:hAnsi="宋体"/>
        </w:rPr>
        <w:t>，应</w:t>
      </w:r>
      <w:r>
        <w:rPr>
          <w:rFonts w:hint="eastAsia" w:ascii="宋体" w:hAnsi="宋体"/>
        </w:rPr>
        <w:t>提供</w:t>
      </w:r>
      <w:r>
        <w:rPr>
          <w:rFonts w:ascii="宋体" w:hAnsi="宋体"/>
        </w:rPr>
        <w:t>空调、</w:t>
      </w:r>
      <w:r>
        <w:rPr>
          <w:rFonts w:hint="eastAsia" w:ascii="宋体" w:hAnsi="宋体"/>
        </w:rPr>
        <w:t>供电、</w:t>
      </w:r>
      <w:r>
        <w:rPr>
          <w:rFonts w:ascii="宋体" w:hAnsi="宋体"/>
        </w:rPr>
        <w:t>照明</w:t>
      </w:r>
      <w:r>
        <w:rPr>
          <w:rFonts w:hint="eastAsia" w:ascii="宋体" w:hAnsi="宋体"/>
        </w:rPr>
        <w:t>的</w:t>
      </w:r>
      <w:r>
        <w:rPr>
          <w:rFonts w:ascii="宋体" w:hAnsi="宋体"/>
        </w:rPr>
        <w:t>电源插座；其结构安全性设计验算</w:t>
      </w:r>
      <w:r>
        <w:rPr>
          <w:rFonts w:hint="eastAsia" w:ascii="宋体" w:hAnsi="宋体"/>
        </w:rPr>
        <w:t>应符合要求</w:t>
      </w:r>
      <w:r>
        <w:rPr>
          <w:rFonts w:ascii="宋体" w:hAnsi="宋体"/>
        </w:rPr>
        <w:t>。</w:t>
      </w:r>
    </w:p>
    <w:p>
      <w:pPr>
        <w:spacing w:line="276" w:lineRule="auto"/>
        <w:ind w:firstLine="420" w:firstLineChars="200"/>
        <w:rPr>
          <w:rFonts w:ascii="宋体" w:hAnsi="宋体"/>
        </w:rPr>
      </w:pPr>
      <w:r>
        <w:rPr>
          <w:rFonts w:hint="eastAsia" w:ascii="宋体" w:hAnsi="宋体"/>
        </w:rPr>
        <w:t xml:space="preserve">4.1.4.5  </w:t>
      </w:r>
      <w:r>
        <w:rPr>
          <w:rFonts w:ascii="宋体" w:hAnsi="宋体"/>
        </w:rPr>
        <w:t>承包人提供的会议室</w:t>
      </w:r>
      <w:r>
        <w:rPr>
          <w:rFonts w:hint="eastAsia" w:ascii="宋体" w:hAnsi="宋体"/>
        </w:rPr>
        <w:t>要满足现场管理要求</w:t>
      </w:r>
      <w:r>
        <w:rPr>
          <w:rFonts w:ascii="宋体" w:hAnsi="宋体"/>
        </w:rPr>
        <w:t>，并包括所需的会议桌及椅子，可容纳不少于 20 个人，以供日常工程会议之用。</w:t>
      </w:r>
    </w:p>
    <w:p>
      <w:pPr>
        <w:spacing w:line="276" w:lineRule="auto"/>
        <w:ind w:firstLine="420" w:firstLineChars="200"/>
        <w:rPr>
          <w:rFonts w:ascii="宋体" w:hAnsi="宋体"/>
        </w:rPr>
      </w:pPr>
      <w:r>
        <w:rPr>
          <w:rFonts w:hint="eastAsia" w:ascii="宋体" w:hAnsi="宋体"/>
        </w:rPr>
        <w:t xml:space="preserve">4.1.4.6  </w:t>
      </w:r>
      <w:r>
        <w:rPr>
          <w:rFonts w:ascii="宋体" w:hAnsi="宋体"/>
        </w:rPr>
        <w:t xml:space="preserve">承包人还应提供一个用于样品存放和展示的现场样品间，样品间应是全天候的，面积应不小于 </w:t>
      </w:r>
      <w:r>
        <w:rPr>
          <w:rFonts w:hint="eastAsia" w:ascii="宋体" w:hAnsi="宋体"/>
        </w:rPr>
        <w:t>20</w:t>
      </w:r>
      <w:r>
        <w:rPr>
          <w:rFonts w:ascii="宋体" w:hAnsi="宋体"/>
        </w:rPr>
        <w:t xml:space="preserve"> 平方米，且应配备足够的照明。</w:t>
      </w:r>
    </w:p>
    <w:p>
      <w:pPr>
        <w:spacing w:line="276" w:lineRule="auto"/>
        <w:ind w:firstLine="420" w:firstLineChars="200"/>
        <w:rPr>
          <w:rFonts w:ascii="宋体" w:hAnsi="宋体"/>
        </w:rPr>
      </w:pPr>
      <w:r>
        <w:rPr>
          <w:rFonts w:hint="eastAsia" w:ascii="宋体" w:hAnsi="宋体"/>
        </w:rPr>
        <w:t xml:space="preserve">4.1.4.7  </w:t>
      </w:r>
      <w:r>
        <w:rPr>
          <w:rFonts w:ascii="宋体" w:hAnsi="宋体"/>
        </w:rPr>
        <w:t>承包人提供的卫生间应符合卫生要求，内贴</w:t>
      </w:r>
      <w:r>
        <w:rPr>
          <w:rFonts w:hint="eastAsia" w:ascii="宋体" w:hAnsi="宋体"/>
        </w:rPr>
        <w:t>瓷</w:t>
      </w:r>
      <w:r>
        <w:rPr>
          <w:rFonts w:ascii="宋体" w:hAnsi="宋体"/>
        </w:rPr>
        <w:t>砖并带手动或自动冲刷设备和洗手盆，承包人负责支付与该厕所相关的所有费用</w:t>
      </w:r>
      <w:r>
        <w:rPr>
          <w:rFonts w:hint="eastAsia" w:ascii="宋体" w:hAnsi="宋体"/>
        </w:rPr>
        <w:t>。</w:t>
      </w:r>
    </w:p>
    <w:p>
      <w:pPr>
        <w:spacing w:line="276" w:lineRule="auto"/>
        <w:ind w:firstLine="420" w:firstLineChars="200"/>
        <w:rPr>
          <w:rFonts w:ascii="宋体" w:hAnsi="宋体"/>
        </w:rPr>
      </w:pPr>
      <w:r>
        <w:rPr>
          <w:rFonts w:hint="eastAsia" w:ascii="宋体" w:hAnsi="宋体"/>
        </w:rPr>
        <w:t>4.1.4.8  临建设施如采用活动板房须经政府主管部门批准具有施工备案资质的单位施工。</w:t>
      </w:r>
    </w:p>
    <w:p>
      <w:pPr>
        <w:spacing w:line="276" w:lineRule="auto"/>
        <w:ind w:firstLine="420" w:firstLineChars="200"/>
        <w:rPr>
          <w:rFonts w:ascii="宋体" w:hAnsi="宋体"/>
        </w:rPr>
      </w:pPr>
      <w:bookmarkStart w:id="34" w:name="_Toc166395984"/>
      <w:bookmarkStart w:id="35" w:name="_Toc167070303"/>
      <w:r>
        <w:rPr>
          <w:rFonts w:hint="eastAsia" w:ascii="宋体" w:hAnsi="宋体"/>
        </w:rPr>
        <w:t xml:space="preserve">4.1.5  </w:t>
      </w:r>
      <w:r>
        <w:rPr>
          <w:rFonts w:ascii="宋体" w:hAnsi="宋体"/>
        </w:rPr>
        <w:t>承包人的办公室和货棚</w:t>
      </w:r>
      <w:bookmarkEnd w:id="34"/>
      <w:bookmarkEnd w:id="35"/>
    </w:p>
    <w:p>
      <w:pPr>
        <w:spacing w:line="276" w:lineRule="auto"/>
        <w:ind w:firstLine="420" w:firstLineChars="200"/>
        <w:rPr>
          <w:rFonts w:ascii="宋体" w:hAnsi="宋体"/>
        </w:rPr>
      </w:pPr>
      <w:r>
        <w:rPr>
          <w:rFonts w:hint="eastAsia" w:ascii="宋体" w:hAnsi="宋体"/>
        </w:rPr>
        <w:t xml:space="preserve">4.1.5.1  </w:t>
      </w:r>
      <w:r>
        <w:rPr>
          <w:rFonts w:ascii="宋体" w:hAnsi="宋体"/>
        </w:rPr>
        <w:t>承包人应自费建造所需的办公室和货棚等临时设施，所有现场临建设施</w:t>
      </w:r>
      <w:r>
        <w:rPr>
          <w:rFonts w:hint="eastAsia" w:ascii="宋体" w:hAnsi="宋体"/>
        </w:rPr>
        <w:t>搭设方案</w:t>
      </w:r>
      <w:r>
        <w:rPr>
          <w:rFonts w:ascii="宋体" w:hAnsi="宋体"/>
        </w:rPr>
        <w:t>须</w:t>
      </w:r>
      <w:r>
        <w:rPr>
          <w:rFonts w:hint="eastAsia" w:ascii="宋体" w:hAnsi="宋体"/>
        </w:rPr>
        <w:t>经</w:t>
      </w:r>
      <w:r>
        <w:rPr>
          <w:rFonts w:ascii="宋体" w:hAnsi="宋体"/>
        </w:rPr>
        <w:t>发包人和监理工程师</w:t>
      </w:r>
      <w:r>
        <w:rPr>
          <w:rFonts w:hint="eastAsia" w:ascii="宋体" w:hAnsi="宋体"/>
        </w:rPr>
        <w:t>批准</w:t>
      </w:r>
      <w:r>
        <w:rPr>
          <w:rFonts w:ascii="宋体" w:hAnsi="宋体"/>
        </w:rPr>
        <w:t>，保证良好状况，承包人须于</w:t>
      </w:r>
      <w:r>
        <w:rPr>
          <w:rFonts w:hint="eastAsia" w:ascii="宋体" w:hAnsi="宋体"/>
        </w:rPr>
        <w:t>工程</w:t>
      </w:r>
      <w:r>
        <w:rPr>
          <w:rFonts w:ascii="宋体" w:hAnsi="宋体"/>
        </w:rPr>
        <w:t>竣工后将该等办公室和货棚等拆除和搬走，并修复现场。</w:t>
      </w:r>
    </w:p>
    <w:p>
      <w:pPr>
        <w:spacing w:line="276" w:lineRule="auto"/>
        <w:ind w:firstLine="420" w:firstLineChars="200"/>
        <w:rPr>
          <w:rFonts w:ascii="宋体" w:hAnsi="宋体"/>
        </w:rPr>
      </w:pPr>
      <w:r>
        <w:rPr>
          <w:rFonts w:hint="eastAsia" w:ascii="宋体" w:hAnsi="宋体"/>
        </w:rPr>
        <w:t xml:space="preserve">4.1.5.2  </w:t>
      </w:r>
      <w:r>
        <w:rPr>
          <w:rFonts w:ascii="宋体" w:hAnsi="宋体"/>
        </w:rPr>
        <w:t>承包人应为他自己使用的办公室考虑必要的办公家具和设备</w:t>
      </w:r>
      <w:r>
        <w:rPr>
          <w:rFonts w:hint="eastAsia" w:ascii="宋体" w:hAnsi="宋体"/>
        </w:rPr>
        <w:t>，</w:t>
      </w:r>
      <w:r>
        <w:rPr>
          <w:rFonts w:ascii="宋体" w:hAnsi="宋体"/>
        </w:rPr>
        <w:t>但承包人不需要为指定分包人和独立</w:t>
      </w:r>
      <w:r>
        <w:rPr>
          <w:rFonts w:hint="eastAsia" w:ascii="宋体" w:hAnsi="宋体"/>
        </w:rPr>
        <w:t>承包人提供任何</w:t>
      </w:r>
      <w:r>
        <w:rPr>
          <w:rFonts w:ascii="宋体" w:hAnsi="宋体"/>
        </w:rPr>
        <w:t>办公家具</w:t>
      </w:r>
      <w:r>
        <w:rPr>
          <w:rFonts w:hint="eastAsia" w:ascii="宋体" w:hAnsi="宋体"/>
        </w:rPr>
        <w:t>和</w:t>
      </w:r>
      <w:r>
        <w:rPr>
          <w:rFonts w:ascii="宋体" w:hAnsi="宋体"/>
        </w:rPr>
        <w:t>设备。</w:t>
      </w:r>
    </w:p>
    <w:p>
      <w:pPr>
        <w:spacing w:line="276" w:lineRule="auto"/>
        <w:ind w:firstLine="420" w:firstLineChars="200"/>
        <w:rPr>
          <w:rFonts w:ascii="宋体" w:hAnsi="宋体"/>
        </w:rPr>
      </w:pPr>
      <w:r>
        <w:rPr>
          <w:rFonts w:hint="eastAsia" w:ascii="宋体" w:hAnsi="宋体"/>
        </w:rPr>
        <w:t xml:space="preserve">4.1.5.3  </w:t>
      </w:r>
      <w:r>
        <w:rPr>
          <w:rFonts w:ascii="宋体" w:hAnsi="宋体"/>
        </w:rPr>
        <w:t>只要没有引起任何建筑结构部分的荷载超过设计的荷载量，以及不阻碍工程的完成或分段竣工(如有此要求)，承包人可经发包人和监理工程师批准后在指定工程的完成部分贮存材料。</w:t>
      </w:r>
    </w:p>
    <w:p>
      <w:pPr>
        <w:spacing w:line="276" w:lineRule="auto"/>
        <w:ind w:firstLine="420" w:firstLineChars="200"/>
        <w:rPr>
          <w:rFonts w:ascii="宋体" w:hAnsi="宋体"/>
        </w:rPr>
      </w:pPr>
      <w:r>
        <w:rPr>
          <w:rFonts w:hint="eastAsia" w:ascii="宋体" w:hAnsi="宋体"/>
        </w:rPr>
        <w:t xml:space="preserve">4.1.5.4  </w:t>
      </w:r>
      <w:r>
        <w:rPr>
          <w:rFonts w:ascii="宋体" w:hAnsi="宋体"/>
        </w:rPr>
        <w:t>承包人必须在经发包人和监理工程师批准的位置提供独立的易燃物货棚，承包人不准在进行施工的建筑物内贮存易燃易爆物品，如油漆、煤油、稀释剂、纤维素真漆、沥青或沥青产品等。</w:t>
      </w:r>
    </w:p>
    <w:p>
      <w:pPr>
        <w:spacing w:line="276" w:lineRule="auto"/>
        <w:ind w:firstLine="420" w:firstLineChars="200"/>
        <w:rPr>
          <w:rFonts w:ascii="宋体" w:hAnsi="宋体"/>
        </w:rPr>
      </w:pPr>
      <w:r>
        <w:rPr>
          <w:rFonts w:hint="eastAsia" w:ascii="宋体" w:hAnsi="宋体"/>
        </w:rPr>
        <w:t>4.1.5.5  具体要求：</w:t>
      </w:r>
    </w:p>
    <w:p>
      <w:pPr>
        <w:spacing w:line="276" w:lineRule="auto"/>
        <w:ind w:firstLine="420" w:firstLineChars="200"/>
        <w:rPr>
          <w:rFonts w:ascii="宋体" w:hAnsi="宋体"/>
        </w:rPr>
      </w:pPr>
      <w:r>
        <w:rPr>
          <w:rFonts w:hint="eastAsia" w:ascii="宋体" w:hAnsi="宋体"/>
        </w:rPr>
        <w:t>4.1.5.5.1  加工棚：</w:t>
      </w:r>
    </w:p>
    <w:p>
      <w:pPr>
        <w:spacing w:line="276" w:lineRule="auto"/>
        <w:ind w:firstLine="420" w:firstLineChars="200"/>
        <w:rPr>
          <w:rFonts w:ascii="宋体" w:hAnsi="宋体"/>
        </w:rPr>
      </w:pPr>
      <w:r>
        <w:rPr>
          <w:rFonts w:hint="eastAsia" w:ascii="宋体" w:hAnsi="宋体"/>
        </w:rPr>
        <w:t>4.1.5.5.1.1  采用砼地坪并找平，搭设要求符合《中铁建工集团临建标准化强制做法管理手册（1.0版）》的要求；</w:t>
      </w:r>
    </w:p>
    <w:p>
      <w:pPr>
        <w:spacing w:line="276" w:lineRule="auto"/>
        <w:ind w:firstLine="420" w:firstLineChars="200"/>
        <w:rPr>
          <w:rFonts w:ascii="宋体" w:hAnsi="宋体"/>
        </w:rPr>
      </w:pPr>
      <w:r>
        <w:rPr>
          <w:rFonts w:hint="eastAsia" w:ascii="宋体" w:hAnsi="宋体"/>
        </w:rPr>
        <w:t>4.1.5.5.1.2  所有木工机械全部集中放置在木工棚内，不允许安放在路上，路边及其它位置；</w:t>
      </w:r>
    </w:p>
    <w:p>
      <w:pPr>
        <w:spacing w:line="276" w:lineRule="auto"/>
        <w:ind w:firstLine="420" w:firstLineChars="200"/>
        <w:rPr>
          <w:rFonts w:ascii="宋体" w:hAnsi="宋体"/>
        </w:rPr>
      </w:pPr>
      <w:r>
        <w:rPr>
          <w:rFonts w:hint="eastAsia" w:ascii="宋体" w:hAnsi="宋体"/>
        </w:rPr>
        <w:t>4.1.5.5.1.3  木工棚内配置好灭火器，各种电箱要采用安全标准电箱，并做好重复接地；</w:t>
      </w:r>
    </w:p>
    <w:p>
      <w:pPr>
        <w:spacing w:line="276" w:lineRule="auto"/>
        <w:ind w:firstLine="420" w:firstLineChars="200"/>
        <w:rPr>
          <w:rFonts w:ascii="宋体" w:hAnsi="宋体"/>
        </w:rPr>
      </w:pPr>
      <w:r>
        <w:rPr>
          <w:rFonts w:hint="eastAsia" w:ascii="宋体" w:hAnsi="宋体"/>
        </w:rPr>
        <w:t>4.1.5.5.1.4  所有钢筋机械全部集中放置在钢筋棚内，不允许安放在路上，路边及其它位置；</w:t>
      </w:r>
    </w:p>
    <w:p>
      <w:pPr>
        <w:spacing w:line="276" w:lineRule="auto"/>
        <w:ind w:firstLine="420" w:firstLineChars="200"/>
        <w:rPr>
          <w:rFonts w:ascii="宋体" w:hAnsi="宋体"/>
        </w:rPr>
      </w:pPr>
      <w:r>
        <w:rPr>
          <w:rFonts w:hint="eastAsia" w:ascii="宋体" w:hAnsi="宋体"/>
        </w:rPr>
        <w:t>4.1.5.5.2  周转料堆场：</w:t>
      </w:r>
    </w:p>
    <w:p>
      <w:pPr>
        <w:spacing w:line="276" w:lineRule="auto"/>
        <w:ind w:firstLine="420" w:firstLineChars="200"/>
        <w:rPr>
          <w:rFonts w:ascii="宋体" w:hAnsi="宋体"/>
        </w:rPr>
      </w:pPr>
      <w:r>
        <w:rPr>
          <w:rFonts w:hint="eastAsia" w:ascii="宋体" w:hAnsi="宋体"/>
        </w:rPr>
        <w:t>4.1.5.5.2.1  扣件、对拉杆采用砖砌池，内外粉刷；</w:t>
      </w:r>
    </w:p>
    <w:p>
      <w:pPr>
        <w:spacing w:line="276" w:lineRule="auto"/>
        <w:ind w:firstLine="420" w:firstLineChars="200"/>
        <w:rPr>
          <w:rFonts w:ascii="宋体" w:hAnsi="宋体"/>
        </w:rPr>
      </w:pPr>
      <w:r>
        <w:rPr>
          <w:rFonts w:hint="eastAsia" w:ascii="宋体" w:hAnsi="宋体"/>
        </w:rPr>
        <w:t>4.1.5.5.2.2  所有钢管堆放在架子上，长短分类；</w:t>
      </w:r>
    </w:p>
    <w:p>
      <w:pPr>
        <w:spacing w:line="276" w:lineRule="auto"/>
        <w:ind w:firstLine="420" w:firstLineChars="200"/>
        <w:rPr>
          <w:rFonts w:ascii="宋体" w:hAnsi="宋体"/>
        </w:rPr>
      </w:pPr>
      <w:r>
        <w:rPr>
          <w:rFonts w:hint="eastAsia" w:ascii="宋体" w:hAnsi="宋体"/>
        </w:rPr>
        <w:t>4.1.5.5.2.3  木料、模板堆放在指定地点，按规格分类，堆放整齐；</w:t>
      </w:r>
    </w:p>
    <w:p>
      <w:pPr>
        <w:spacing w:line="276" w:lineRule="auto"/>
        <w:ind w:firstLine="420" w:firstLineChars="200"/>
        <w:rPr>
          <w:rFonts w:ascii="宋体" w:hAnsi="宋体"/>
        </w:rPr>
      </w:pPr>
      <w:r>
        <w:rPr>
          <w:rFonts w:hint="eastAsia" w:ascii="宋体" w:hAnsi="宋体"/>
        </w:rPr>
        <w:t>4.1.5.5.2.4  地坪采用混凝土并找平，并考虑排水沟布设材料堆场：</w:t>
      </w:r>
    </w:p>
    <w:p>
      <w:pPr>
        <w:spacing w:line="276" w:lineRule="auto"/>
        <w:ind w:firstLine="420" w:firstLineChars="200"/>
        <w:rPr>
          <w:rFonts w:ascii="宋体" w:hAnsi="宋体"/>
        </w:rPr>
      </w:pPr>
      <w:r>
        <w:rPr>
          <w:rFonts w:hint="eastAsia" w:ascii="宋体" w:hAnsi="宋体"/>
        </w:rPr>
        <w:t>4.1.5.5.2.5  地面必须硬化；</w:t>
      </w:r>
    </w:p>
    <w:p>
      <w:pPr>
        <w:spacing w:line="276" w:lineRule="auto"/>
        <w:ind w:firstLine="420" w:firstLineChars="200"/>
        <w:rPr>
          <w:rFonts w:ascii="宋体" w:hAnsi="宋体"/>
        </w:rPr>
      </w:pPr>
      <w:r>
        <w:rPr>
          <w:rFonts w:hint="eastAsia" w:ascii="宋体" w:hAnsi="宋体"/>
        </w:rPr>
        <w:t>4.1.5.5.2.6  计量装置须齐全且能有效使用；</w:t>
      </w:r>
    </w:p>
    <w:p>
      <w:pPr>
        <w:spacing w:line="276" w:lineRule="auto"/>
        <w:ind w:firstLine="420" w:firstLineChars="200"/>
        <w:rPr>
          <w:rFonts w:ascii="宋体" w:hAnsi="宋体"/>
        </w:rPr>
      </w:pPr>
      <w:r>
        <w:rPr>
          <w:rFonts w:hint="eastAsia" w:ascii="宋体" w:hAnsi="宋体"/>
        </w:rPr>
        <w:t>4.1.5.5.2.7  砌块堆场：场地平整，堆置高度不得超过2米，堆码整齐，方正；砌块堆场底下须架空，做好防潮防雨措施。</w:t>
      </w:r>
    </w:p>
    <w:p>
      <w:pPr>
        <w:spacing w:line="276" w:lineRule="auto"/>
        <w:ind w:firstLine="420" w:firstLineChars="200"/>
        <w:rPr>
          <w:rFonts w:ascii="宋体" w:hAnsi="宋体"/>
        </w:rPr>
      </w:pPr>
      <w:bookmarkStart w:id="36" w:name="_Toc166395985"/>
      <w:bookmarkStart w:id="37" w:name="_Toc167070304"/>
      <w:r>
        <w:rPr>
          <w:rFonts w:hint="eastAsia" w:ascii="宋体" w:hAnsi="宋体"/>
        </w:rPr>
        <w:t xml:space="preserve">4.1.6  </w:t>
      </w:r>
      <w:r>
        <w:rPr>
          <w:rFonts w:ascii="宋体" w:hAnsi="宋体"/>
        </w:rPr>
        <w:t>承包人的工人生活区</w:t>
      </w:r>
      <w:bookmarkEnd w:id="36"/>
      <w:bookmarkEnd w:id="37"/>
    </w:p>
    <w:p>
      <w:pPr>
        <w:spacing w:line="276" w:lineRule="auto"/>
        <w:ind w:firstLine="420" w:firstLineChars="200"/>
        <w:rPr>
          <w:rFonts w:ascii="宋体" w:hAnsi="宋体"/>
        </w:rPr>
      </w:pPr>
      <w:r>
        <w:rPr>
          <w:rFonts w:hint="eastAsia" w:ascii="宋体" w:hAnsi="宋体"/>
        </w:rPr>
        <w:t>4.1.6.1  当现场场地允许时，承包人的工人生活区可在现场布置；如果现场无法提供承包人的工人生活区时，承包人可在场地外找地方自行解决，但相关费用包含在投标报价内。</w:t>
      </w:r>
    </w:p>
    <w:p>
      <w:pPr>
        <w:spacing w:line="276" w:lineRule="auto"/>
        <w:ind w:firstLine="420" w:firstLineChars="200"/>
        <w:rPr>
          <w:rFonts w:ascii="宋体" w:hAnsi="宋体"/>
        </w:rPr>
      </w:pPr>
      <w:r>
        <w:rPr>
          <w:rFonts w:hint="eastAsia" w:ascii="宋体" w:hAnsi="宋体"/>
        </w:rPr>
        <w:t xml:space="preserve">4.1.6.2  </w:t>
      </w:r>
      <w:r>
        <w:rPr>
          <w:rFonts w:ascii="宋体" w:hAnsi="宋体"/>
        </w:rPr>
        <w:t>承包人</w:t>
      </w:r>
      <w:r>
        <w:rPr>
          <w:rFonts w:hint="eastAsia" w:ascii="宋体" w:hAnsi="宋体"/>
        </w:rPr>
        <w:t>在此基础上</w:t>
      </w:r>
      <w:r>
        <w:rPr>
          <w:rFonts w:ascii="宋体" w:hAnsi="宋体"/>
        </w:rPr>
        <w:t>为他雇用的工人</w:t>
      </w:r>
      <w:r>
        <w:rPr>
          <w:rFonts w:hint="eastAsia" w:ascii="宋体" w:hAnsi="宋体"/>
        </w:rPr>
        <w:t>营</w:t>
      </w:r>
      <w:r>
        <w:rPr>
          <w:rFonts w:ascii="宋体" w:hAnsi="宋体"/>
        </w:rPr>
        <w:t>建相应的生活宿舍、食堂、浴室、厕所和文化活动室等，</w:t>
      </w:r>
      <w:r>
        <w:rPr>
          <w:rFonts w:hint="eastAsia" w:ascii="宋体" w:hAnsi="宋体"/>
        </w:rPr>
        <w:t>所有临时设施需达到A级阻燃标准。并负责相应的水电接驳工作，</w:t>
      </w:r>
      <w:r>
        <w:rPr>
          <w:rFonts w:ascii="宋体" w:hAnsi="宋体"/>
        </w:rPr>
        <w:t>其标准应满足政府有关机构的生活标准和卫生标准等要求</w:t>
      </w:r>
      <w:r>
        <w:rPr>
          <w:rFonts w:hint="eastAsia" w:ascii="宋体" w:hAnsi="宋体"/>
        </w:rPr>
        <w:t>，并满发包人关于安全文明施工的要求</w:t>
      </w:r>
      <w:r>
        <w:rPr>
          <w:rFonts w:ascii="宋体" w:hAnsi="宋体"/>
        </w:rPr>
        <w:t>。</w:t>
      </w:r>
      <w:r>
        <w:rPr>
          <w:rFonts w:hint="eastAsia" w:ascii="宋体" w:hAnsi="宋体"/>
        </w:rPr>
        <w:t>相关费用包含在投标报价内。</w:t>
      </w:r>
    </w:p>
    <w:p>
      <w:pPr>
        <w:spacing w:line="276" w:lineRule="auto"/>
        <w:ind w:firstLine="420" w:firstLineChars="200"/>
        <w:rPr>
          <w:rFonts w:ascii="宋体" w:hAnsi="宋体"/>
        </w:rPr>
      </w:pPr>
      <w:r>
        <w:rPr>
          <w:rFonts w:hint="eastAsia" w:ascii="宋体" w:hAnsi="宋体"/>
        </w:rPr>
        <w:t xml:space="preserve">4.1.6.3  </w:t>
      </w:r>
      <w:r>
        <w:rPr>
          <w:rFonts w:ascii="宋体" w:hAnsi="宋体"/>
        </w:rPr>
        <w:t>承包人应</w:t>
      </w:r>
      <w:r>
        <w:rPr>
          <w:rFonts w:hint="eastAsia" w:ascii="宋体" w:hAnsi="宋体"/>
        </w:rPr>
        <w:t>对所属生活区进行有效封闭并</w:t>
      </w:r>
      <w:r>
        <w:rPr>
          <w:rFonts w:ascii="宋体" w:hAnsi="宋体"/>
        </w:rPr>
        <w:t>制定严格的管理制度，</w:t>
      </w:r>
      <w:r>
        <w:rPr>
          <w:rFonts w:hint="eastAsia" w:ascii="宋体" w:hAnsi="宋体"/>
        </w:rPr>
        <w:t>做好防火防盗工作，</w:t>
      </w:r>
      <w:r>
        <w:rPr>
          <w:rFonts w:ascii="宋体" w:hAnsi="宋体"/>
        </w:rPr>
        <w:t>随时接受检查。</w:t>
      </w:r>
    </w:p>
    <w:p>
      <w:pPr>
        <w:spacing w:line="276" w:lineRule="auto"/>
        <w:ind w:firstLine="420" w:firstLineChars="200"/>
        <w:rPr>
          <w:rFonts w:ascii="宋体" w:hAnsi="宋体"/>
        </w:rPr>
      </w:pPr>
      <w:bookmarkStart w:id="38" w:name="_Toc166395986"/>
      <w:bookmarkStart w:id="39" w:name="_Toc167070305"/>
      <w:r>
        <w:rPr>
          <w:rFonts w:hint="eastAsia" w:ascii="宋体" w:hAnsi="宋体"/>
        </w:rPr>
        <w:t xml:space="preserve">4.1.7  </w:t>
      </w:r>
      <w:r>
        <w:rPr>
          <w:rFonts w:ascii="宋体" w:hAnsi="宋体"/>
        </w:rPr>
        <w:t>指定分包人及独立工程</w:t>
      </w:r>
      <w:r>
        <w:rPr>
          <w:rFonts w:hint="eastAsia" w:ascii="宋体" w:hAnsi="宋体"/>
        </w:rPr>
        <w:t>承包人</w:t>
      </w:r>
      <w:r>
        <w:rPr>
          <w:rFonts w:ascii="宋体" w:hAnsi="宋体"/>
        </w:rPr>
        <w:t>的用地</w:t>
      </w:r>
      <w:bookmarkEnd w:id="38"/>
      <w:bookmarkEnd w:id="39"/>
      <w:r>
        <w:rPr>
          <w:rFonts w:hint="eastAsia" w:ascii="宋体" w:hAnsi="宋体"/>
        </w:rPr>
        <w:t>（若有）</w:t>
      </w:r>
    </w:p>
    <w:p>
      <w:pPr>
        <w:spacing w:line="276" w:lineRule="auto"/>
        <w:ind w:firstLine="420" w:firstLineChars="200"/>
        <w:rPr>
          <w:rFonts w:ascii="宋体" w:hAnsi="宋体"/>
        </w:rPr>
      </w:pPr>
      <w:r>
        <w:rPr>
          <w:rFonts w:ascii="宋体" w:hAnsi="宋体"/>
        </w:rPr>
        <w:t>承包人须按发包人或监理工程师的指示将工地现场部分地方划拨出来作为指定分包人及独立工程</w:t>
      </w:r>
      <w:r>
        <w:rPr>
          <w:rFonts w:hint="eastAsia" w:ascii="宋体" w:hAnsi="宋体"/>
        </w:rPr>
        <w:t>承包人（如：园林景观工程等）</w:t>
      </w:r>
      <w:r>
        <w:rPr>
          <w:rFonts w:ascii="宋体" w:hAnsi="宋体"/>
        </w:rPr>
        <w:t>的物料贮藏间及其工作人员的工作区。指定分包人及独立工程</w:t>
      </w:r>
      <w:r>
        <w:rPr>
          <w:rFonts w:hint="eastAsia" w:ascii="宋体" w:hAnsi="宋体"/>
        </w:rPr>
        <w:t>承包人</w:t>
      </w:r>
      <w:r>
        <w:rPr>
          <w:rFonts w:ascii="宋体" w:hAnsi="宋体"/>
        </w:rPr>
        <w:t>负责各自的临建搭设工作，任何搭建的临时建筑，包括临时办公室、货仓、蓬盖、围板等一切临时设施，在其用途完成时（除另有指示），必须完全撤走，并保持各地方整洁。</w:t>
      </w:r>
      <w:r>
        <w:rPr>
          <w:rFonts w:hint="eastAsia" w:ascii="宋体" w:hAnsi="宋体"/>
        </w:rPr>
        <w:t>小区配套独立工程（供电、燃气、有线电视、电话网络及供水等相关工程）由承包人负责提供物料贮藏间及其工作人的工作、生活住宿设施，相关一切费用需包含</w:t>
      </w:r>
      <w:r>
        <w:rPr>
          <w:rFonts w:hint="eastAsia" w:ascii="宋体" w:hAnsi="宋体"/>
          <w:kern w:val="0"/>
        </w:rPr>
        <w:t>在合同报价</w:t>
      </w:r>
      <w:r>
        <w:rPr>
          <w:rFonts w:hint="eastAsia" w:ascii="宋体" w:hAnsi="宋体"/>
        </w:rPr>
        <w:t>中。</w:t>
      </w:r>
    </w:p>
    <w:p>
      <w:pPr>
        <w:spacing w:line="276" w:lineRule="auto"/>
        <w:ind w:firstLine="420" w:firstLineChars="200"/>
        <w:rPr>
          <w:rFonts w:ascii="宋体" w:hAnsi="宋体"/>
        </w:rPr>
      </w:pPr>
      <w:bookmarkStart w:id="40" w:name="_Toc166395987"/>
      <w:bookmarkStart w:id="41" w:name="_Toc167070306"/>
      <w:r>
        <w:rPr>
          <w:rFonts w:hint="eastAsia" w:ascii="宋体" w:hAnsi="宋体"/>
        </w:rPr>
        <w:t xml:space="preserve">4.1.8  </w:t>
      </w:r>
      <w:r>
        <w:rPr>
          <w:rFonts w:ascii="宋体" w:hAnsi="宋体"/>
        </w:rPr>
        <w:t>围墙、隔墙和走道</w:t>
      </w:r>
      <w:bookmarkEnd w:id="40"/>
      <w:bookmarkEnd w:id="41"/>
      <w:r>
        <w:rPr>
          <w:rFonts w:hint="eastAsia" w:ascii="宋体" w:hAnsi="宋体"/>
        </w:rPr>
        <w:t xml:space="preserve"> </w:t>
      </w:r>
    </w:p>
    <w:p>
      <w:pPr>
        <w:spacing w:line="276" w:lineRule="auto"/>
        <w:ind w:firstLine="420" w:firstLineChars="200"/>
        <w:rPr>
          <w:rFonts w:ascii="宋体" w:hAnsi="宋体"/>
        </w:rPr>
      </w:pPr>
      <w:r>
        <w:rPr>
          <w:rFonts w:hint="eastAsia" w:ascii="宋体" w:hAnsi="宋体"/>
        </w:rPr>
        <w:t>4.1.8.1  发包人在现场布置的广告围板的日常维护由承包人负责，需保持围板的整洁和完整。如承包人拒不承担则发包人将委托其他单位负责，相应费用从承包人工程款中直接扣除。承包人</w:t>
      </w:r>
      <w:r>
        <w:rPr>
          <w:rFonts w:ascii="宋体" w:hAnsi="宋体"/>
        </w:rPr>
        <w:t>还须按照工程</w:t>
      </w:r>
      <w:r>
        <w:rPr>
          <w:rFonts w:hint="eastAsia" w:ascii="宋体" w:hAnsi="宋体"/>
        </w:rPr>
        <w:t>的</w:t>
      </w:r>
      <w:r>
        <w:rPr>
          <w:rFonts w:ascii="宋体" w:hAnsi="宋体"/>
        </w:rPr>
        <w:t>进度和各阶段的竣工</w:t>
      </w:r>
      <w:r>
        <w:rPr>
          <w:rFonts w:hint="eastAsia" w:ascii="宋体" w:hAnsi="宋体"/>
        </w:rPr>
        <w:t>，在示范区和样板区</w:t>
      </w:r>
      <w:r>
        <w:rPr>
          <w:rFonts w:ascii="宋体" w:hAnsi="宋体"/>
        </w:rPr>
        <w:t>提供任何</w:t>
      </w:r>
      <w:r>
        <w:rPr>
          <w:rFonts w:hint="eastAsia" w:ascii="宋体" w:hAnsi="宋体"/>
        </w:rPr>
        <w:t>位置给广告</w:t>
      </w:r>
      <w:r>
        <w:rPr>
          <w:rFonts w:ascii="宋体" w:hAnsi="宋体"/>
        </w:rPr>
        <w:t>围墙、隔墙及</w:t>
      </w:r>
      <w:r>
        <w:rPr>
          <w:rFonts w:hint="eastAsia" w:ascii="宋体" w:hAnsi="宋体"/>
        </w:rPr>
        <w:t>销售通道</w:t>
      </w:r>
      <w:r>
        <w:rPr>
          <w:rFonts w:ascii="宋体" w:hAnsi="宋体"/>
        </w:rPr>
        <w:t>等，</w:t>
      </w:r>
      <w:r>
        <w:rPr>
          <w:rFonts w:hint="eastAsia" w:ascii="宋体" w:hAnsi="宋体"/>
        </w:rPr>
        <w:t>对其施工区域范围由发包人单独发包施工的围墙进行定期维护，相关一切费用需包含在投标报价中。如果出现二次及以上移位、新建拆除广告</w:t>
      </w:r>
      <w:r>
        <w:rPr>
          <w:rFonts w:ascii="宋体" w:hAnsi="宋体"/>
        </w:rPr>
        <w:t>围墙、隔墙及走道</w:t>
      </w:r>
      <w:r>
        <w:rPr>
          <w:rFonts w:hint="eastAsia" w:ascii="宋体" w:hAnsi="宋体"/>
        </w:rPr>
        <w:t>，对二次及以上工程量核定签证。</w:t>
      </w:r>
    </w:p>
    <w:p>
      <w:pPr>
        <w:spacing w:line="276" w:lineRule="auto"/>
        <w:ind w:firstLine="420" w:firstLineChars="200"/>
        <w:rPr>
          <w:rFonts w:ascii="宋体" w:hAnsi="宋体"/>
        </w:rPr>
      </w:pPr>
      <w:r>
        <w:rPr>
          <w:rFonts w:hint="eastAsia" w:ascii="宋体" w:hAnsi="宋体"/>
        </w:rPr>
        <w:t xml:space="preserve">4.1.8.2  </w:t>
      </w:r>
      <w:r>
        <w:rPr>
          <w:rFonts w:ascii="宋体" w:hAnsi="宋体"/>
        </w:rPr>
        <w:t>所有围墙、隔墙及</w:t>
      </w:r>
      <w:r>
        <w:rPr>
          <w:rFonts w:hint="eastAsia" w:ascii="宋体" w:hAnsi="宋体"/>
        </w:rPr>
        <w:t>销售通道</w:t>
      </w:r>
      <w:r>
        <w:rPr>
          <w:rFonts w:ascii="宋体" w:hAnsi="宋体"/>
        </w:rPr>
        <w:t>的建造方法应由承包人提出方案，但必须经发包人和监理工程师批准。</w:t>
      </w:r>
    </w:p>
    <w:p>
      <w:pPr>
        <w:spacing w:line="276" w:lineRule="auto"/>
        <w:ind w:firstLine="420" w:firstLineChars="200"/>
        <w:rPr>
          <w:rFonts w:ascii="宋体" w:hAnsi="宋体"/>
        </w:rPr>
      </w:pPr>
      <w:r>
        <w:rPr>
          <w:rFonts w:hint="eastAsia" w:ascii="宋体" w:hAnsi="宋体"/>
        </w:rPr>
        <w:t xml:space="preserve">4.1.8.3  </w:t>
      </w:r>
      <w:r>
        <w:rPr>
          <w:rFonts w:ascii="宋体" w:hAnsi="宋体"/>
        </w:rPr>
        <w:t>临时围墙和围护在外观</w:t>
      </w:r>
      <w:r>
        <w:rPr>
          <w:rFonts w:hint="eastAsia" w:ascii="宋体" w:hAnsi="宋体"/>
        </w:rPr>
        <w:t>（包括高度、用材、颜色等）符合《中铁建工集团临建标准化强制做法管理手册（1.0版）》及中国铁路广州局集团的相关要求</w:t>
      </w:r>
      <w:r>
        <w:rPr>
          <w:rFonts w:ascii="宋体" w:hAnsi="宋体"/>
        </w:rPr>
        <w:t>；围墙表面处理的颜色、图案和标语应经过发包人和监理工程师的审批。</w:t>
      </w:r>
    </w:p>
    <w:p>
      <w:pPr>
        <w:spacing w:line="276" w:lineRule="auto"/>
        <w:ind w:firstLine="420" w:firstLineChars="200"/>
        <w:rPr>
          <w:rFonts w:ascii="宋体" w:hAnsi="宋体"/>
        </w:rPr>
      </w:pPr>
      <w:r>
        <w:rPr>
          <w:rFonts w:hint="eastAsia" w:ascii="宋体" w:hAnsi="宋体"/>
        </w:rPr>
        <w:t xml:space="preserve">4.1.8.4  </w:t>
      </w:r>
      <w:r>
        <w:rPr>
          <w:rFonts w:ascii="宋体" w:hAnsi="宋体"/>
        </w:rPr>
        <w:t>除非违背政府有关规定，承包人应按发包人的要求，在现场围墙上指定的位置以恰当的方式制作发包人的形象标识和宣传标语。</w:t>
      </w:r>
    </w:p>
    <w:p>
      <w:pPr>
        <w:spacing w:line="276" w:lineRule="auto"/>
        <w:ind w:firstLine="420" w:firstLineChars="200"/>
        <w:rPr>
          <w:rFonts w:ascii="宋体" w:hAnsi="宋体"/>
        </w:rPr>
      </w:pPr>
      <w:r>
        <w:rPr>
          <w:rFonts w:hint="eastAsia" w:ascii="宋体" w:hAnsi="宋体"/>
        </w:rPr>
        <w:t xml:space="preserve">4.1.8.5  </w:t>
      </w:r>
      <w:r>
        <w:rPr>
          <w:rFonts w:ascii="宋体" w:hAnsi="宋体"/>
        </w:rPr>
        <w:t>围墙和大门的表面维护应考虑定期的修补和重新刷漆，并应保证所有的乱涂乱画或招贴广告随时被清理。</w:t>
      </w:r>
    </w:p>
    <w:p>
      <w:pPr>
        <w:spacing w:line="276" w:lineRule="auto"/>
        <w:ind w:firstLine="420" w:firstLineChars="200"/>
        <w:rPr>
          <w:rFonts w:ascii="宋体" w:hAnsi="宋体"/>
        </w:rPr>
      </w:pPr>
      <w:r>
        <w:rPr>
          <w:rFonts w:hint="eastAsia" w:ascii="宋体" w:hAnsi="宋体"/>
        </w:rPr>
        <w:t xml:space="preserve">4.1.8.6  </w:t>
      </w:r>
      <w:r>
        <w:rPr>
          <w:rFonts w:ascii="宋体" w:hAnsi="宋体"/>
        </w:rPr>
        <w:t>临时围墙和出入大门的照明系统须满足现场安全保卫和美观的要求。</w:t>
      </w:r>
    </w:p>
    <w:p>
      <w:pPr>
        <w:spacing w:line="276" w:lineRule="auto"/>
        <w:ind w:firstLine="420" w:firstLineChars="200"/>
        <w:rPr>
          <w:rFonts w:ascii="宋体" w:hAnsi="宋体"/>
        </w:rPr>
      </w:pPr>
      <w:r>
        <w:rPr>
          <w:rFonts w:hint="eastAsia" w:ascii="宋体" w:hAnsi="宋体"/>
        </w:rPr>
        <w:t xml:space="preserve">4.1.8.7  </w:t>
      </w:r>
      <w:r>
        <w:rPr>
          <w:rFonts w:ascii="宋体" w:hAnsi="宋体"/>
        </w:rPr>
        <w:t>现场临时围墙和出入大门等应在工程完工时，或根据施工进度的需要在工程完工之前拆除并恢复地表和任何设施的原状。</w:t>
      </w:r>
    </w:p>
    <w:p>
      <w:pPr>
        <w:spacing w:line="276" w:lineRule="auto"/>
        <w:ind w:firstLine="420" w:firstLineChars="200"/>
        <w:rPr>
          <w:rFonts w:ascii="宋体" w:hAnsi="宋体"/>
        </w:rPr>
      </w:pPr>
      <w:r>
        <w:rPr>
          <w:rFonts w:hint="eastAsia" w:ascii="宋体" w:hAnsi="宋体"/>
        </w:rPr>
        <w:t xml:space="preserve">4.1.8.8  </w:t>
      </w:r>
      <w:r>
        <w:rPr>
          <w:rFonts w:ascii="宋体" w:hAnsi="宋体"/>
        </w:rPr>
        <w:t>承包人承担因建造有关围墙所引致的一切开支，如（但不限于）设计费用、挖土及回填、基础及墙体、水泥砂浆抹面及油漆、出入口大门、照明系统等。</w:t>
      </w:r>
    </w:p>
    <w:p>
      <w:pPr>
        <w:spacing w:line="276" w:lineRule="auto"/>
        <w:ind w:firstLine="420" w:firstLineChars="200"/>
        <w:rPr>
          <w:rFonts w:ascii="宋体" w:hAnsi="宋体"/>
        </w:rPr>
      </w:pPr>
      <w:bookmarkStart w:id="42" w:name="_Toc167070307"/>
      <w:bookmarkStart w:id="43" w:name="_Toc166395988"/>
      <w:r>
        <w:rPr>
          <w:rFonts w:hint="eastAsia" w:ascii="宋体" w:hAnsi="宋体"/>
        </w:rPr>
        <w:t xml:space="preserve">4.1.9  </w:t>
      </w:r>
      <w:r>
        <w:rPr>
          <w:rFonts w:ascii="宋体" w:hAnsi="宋体"/>
        </w:rPr>
        <w:t>现场名称牌</w:t>
      </w:r>
      <w:bookmarkEnd w:id="42"/>
      <w:bookmarkEnd w:id="43"/>
    </w:p>
    <w:p>
      <w:pPr>
        <w:spacing w:line="276" w:lineRule="auto"/>
        <w:ind w:firstLine="420" w:firstLineChars="200"/>
        <w:rPr>
          <w:rFonts w:ascii="宋体" w:hAnsi="宋体"/>
        </w:rPr>
      </w:pPr>
      <w:r>
        <w:rPr>
          <w:rFonts w:hint="eastAsia" w:ascii="宋体" w:hAnsi="宋体"/>
        </w:rPr>
        <w:t xml:space="preserve">4.1.9.1  </w:t>
      </w:r>
      <w:r>
        <w:rPr>
          <w:rFonts w:ascii="宋体" w:hAnsi="宋体"/>
        </w:rPr>
        <w:t>承包人应在现场最显目的位置，设立现场名称牌，书写的格式、名称牌的样式和尺寸、内容、设立的位置和建造方法</w:t>
      </w:r>
      <w:r>
        <w:rPr>
          <w:rFonts w:hint="eastAsia" w:ascii="宋体" w:hAnsi="宋体"/>
        </w:rPr>
        <w:t>符合《中铁建工集团临建标准化强制做法管理手册（1.0版）》、中国铁路广州局集团的相关要求，并</w:t>
      </w:r>
      <w:r>
        <w:rPr>
          <w:rFonts w:ascii="宋体" w:hAnsi="宋体"/>
        </w:rPr>
        <w:t>须经过发包人和监理工程师的审批，现场名称牌应在工程实际完工时拆除。</w:t>
      </w:r>
    </w:p>
    <w:p>
      <w:pPr>
        <w:spacing w:line="276" w:lineRule="auto"/>
        <w:ind w:firstLine="420" w:firstLineChars="200"/>
        <w:rPr>
          <w:rFonts w:ascii="宋体" w:hAnsi="宋体"/>
        </w:rPr>
      </w:pPr>
      <w:r>
        <w:rPr>
          <w:rFonts w:hint="eastAsia" w:ascii="宋体" w:hAnsi="宋体"/>
        </w:rPr>
        <w:t xml:space="preserve">4.1.9.2  </w:t>
      </w:r>
      <w:r>
        <w:rPr>
          <w:rFonts w:ascii="宋体" w:hAnsi="宋体"/>
        </w:rPr>
        <w:t>承包人应在施工期间对现场名称牌</w:t>
      </w:r>
      <w:r>
        <w:rPr>
          <w:rFonts w:hint="eastAsia" w:ascii="宋体" w:hAnsi="宋体"/>
        </w:rPr>
        <w:t>进行定期的</w:t>
      </w:r>
      <w:r>
        <w:rPr>
          <w:rFonts w:ascii="宋体" w:hAnsi="宋体"/>
        </w:rPr>
        <w:t>维护、重新油漆和书写。</w:t>
      </w:r>
    </w:p>
    <w:p>
      <w:pPr>
        <w:spacing w:line="276" w:lineRule="auto"/>
        <w:ind w:firstLine="420" w:firstLineChars="200"/>
        <w:rPr>
          <w:rFonts w:ascii="宋体" w:hAnsi="宋体"/>
        </w:rPr>
      </w:pPr>
      <w:bookmarkStart w:id="44" w:name="_Toc169077988"/>
      <w:r>
        <w:rPr>
          <w:rFonts w:hint="eastAsia" w:ascii="宋体" w:hAnsi="宋体"/>
        </w:rPr>
        <w:t>4.1.10  其他约定</w:t>
      </w:r>
      <w:bookmarkEnd w:id="44"/>
    </w:p>
    <w:p>
      <w:pPr>
        <w:spacing w:line="276" w:lineRule="auto"/>
        <w:ind w:firstLine="420" w:firstLineChars="200"/>
        <w:rPr>
          <w:rFonts w:ascii="宋体" w:hAnsi="宋体"/>
        </w:rPr>
      </w:pPr>
      <w:r>
        <w:rPr>
          <w:rFonts w:hint="eastAsia" w:ascii="宋体" w:hAnsi="宋体"/>
        </w:rPr>
        <w:t>在工程施工过程中，应包含在措施费及其它费用项目中的施工所必需的工作内容，承包人必须按发包人的要求施工或搭设；如承包人不按发包人方要求施工或搭设，则发包人有权另外安排其它单位施工，向承包人收取所发生费用另加25％的管理费从当期进度款中扣除，并且由此造成的工期延误由承包人负责。</w:t>
      </w:r>
    </w:p>
    <w:p>
      <w:pPr>
        <w:pStyle w:val="3"/>
        <w:spacing w:before="0" w:after="0" w:line="276" w:lineRule="auto"/>
        <w:ind w:firstLine="413" w:firstLineChars="196"/>
        <w:rPr>
          <w:rFonts w:ascii="宋体" w:hAnsi="宋体"/>
          <w:sz w:val="21"/>
          <w:szCs w:val="21"/>
        </w:rPr>
      </w:pPr>
      <w:bookmarkStart w:id="45" w:name="_Toc144459622"/>
      <w:bookmarkStart w:id="46" w:name="_Toc166395992"/>
      <w:bookmarkStart w:id="47" w:name="_Toc404603785"/>
      <w:bookmarkStart w:id="48" w:name="_Toc404565082"/>
      <w:bookmarkStart w:id="49" w:name="_Toc405535526"/>
      <w:bookmarkStart w:id="50" w:name="_Toc167070311"/>
      <w:r>
        <w:rPr>
          <w:rFonts w:hint="eastAsia" w:ascii="宋体" w:hAnsi="宋体"/>
          <w:sz w:val="21"/>
          <w:szCs w:val="21"/>
        </w:rPr>
        <w:t xml:space="preserve">4.2  </w:t>
      </w:r>
      <w:r>
        <w:rPr>
          <w:rFonts w:ascii="宋体" w:hAnsi="宋体"/>
          <w:sz w:val="21"/>
          <w:szCs w:val="21"/>
        </w:rPr>
        <w:t>脚手架</w:t>
      </w:r>
      <w:r>
        <w:rPr>
          <w:rFonts w:hint="eastAsia" w:ascii="宋体" w:hAnsi="宋体"/>
          <w:sz w:val="21"/>
          <w:szCs w:val="21"/>
        </w:rPr>
        <w:t>、</w:t>
      </w:r>
      <w:r>
        <w:rPr>
          <w:rFonts w:ascii="宋体" w:hAnsi="宋体"/>
          <w:sz w:val="21"/>
          <w:szCs w:val="21"/>
        </w:rPr>
        <w:t>施工机械</w:t>
      </w:r>
      <w:bookmarkEnd w:id="45"/>
      <w:bookmarkEnd w:id="46"/>
      <w:bookmarkEnd w:id="47"/>
      <w:bookmarkEnd w:id="48"/>
      <w:bookmarkEnd w:id="49"/>
      <w:bookmarkEnd w:id="50"/>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4.2.1  </w:t>
      </w:r>
      <w:r>
        <w:rPr>
          <w:rFonts w:ascii="宋体" w:hAnsi="宋体" w:eastAsia="宋体"/>
          <w:sz w:val="21"/>
          <w:szCs w:val="21"/>
          <w:lang w:eastAsia="zh-CN"/>
        </w:rPr>
        <w:t>承包人为确保工程顺利进行，须提供和安装一切必要的脚手架、</w:t>
      </w:r>
      <w:r>
        <w:rPr>
          <w:rFonts w:hint="eastAsia" w:ascii="宋体" w:hAnsi="宋体" w:eastAsia="宋体"/>
          <w:sz w:val="21"/>
          <w:szCs w:val="21"/>
          <w:lang w:eastAsia="zh-CN"/>
        </w:rPr>
        <w:t>卸料</w:t>
      </w:r>
      <w:r>
        <w:rPr>
          <w:rFonts w:ascii="宋体" w:hAnsi="宋体" w:eastAsia="宋体"/>
          <w:sz w:val="21"/>
          <w:szCs w:val="21"/>
          <w:lang w:eastAsia="zh-CN"/>
        </w:rPr>
        <w:t>平台并配以脚手板、安全网、护身栏杆、隔板、起重架的门架、马道、坡道、爬梯、临时架桥、</w:t>
      </w:r>
      <w:r>
        <w:rPr>
          <w:rFonts w:hint="eastAsia" w:ascii="宋体" w:hAnsi="宋体" w:eastAsia="宋体"/>
          <w:sz w:val="21"/>
          <w:szCs w:val="21"/>
          <w:lang w:eastAsia="zh-CN"/>
        </w:rPr>
        <w:t>起重设备（如塔吊）</w:t>
      </w:r>
      <w:r>
        <w:rPr>
          <w:rFonts w:ascii="宋体" w:hAnsi="宋体" w:eastAsia="宋体"/>
          <w:sz w:val="21"/>
          <w:szCs w:val="21"/>
          <w:lang w:eastAsia="zh-CN"/>
        </w:rPr>
        <w:t>、</w:t>
      </w:r>
      <w:r>
        <w:rPr>
          <w:rFonts w:hint="eastAsia" w:ascii="宋体" w:hAnsi="宋体" w:eastAsia="宋体"/>
          <w:sz w:val="21"/>
          <w:szCs w:val="21"/>
          <w:lang w:eastAsia="zh-CN"/>
        </w:rPr>
        <w:t>升降机、</w:t>
      </w:r>
      <w:r>
        <w:rPr>
          <w:rFonts w:ascii="宋体" w:hAnsi="宋体" w:eastAsia="宋体"/>
          <w:sz w:val="21"/>
          <w:szCs w:val="21"/>
          <w:lang w:eastAsia="zh-CN"/>
        </w:rPr>
        <w:t>混凝土搅拌机和振捣器、以及所有其它的机械设备、工具、器材、梯子、油布等，并保持其良好的操作</w:t>
      </w:r>
      <w:r>
        <w:rPr>
          <w:rFonts w:hint="eastAsia" w:ascii="宋体" w:hAnsi="宋体" w:eastAsia="宋体"/>
          <w:sz w:val="21"/>
          <w:szCs w:val="21"/>
          <w:lang w:eastAsia="zh-CN"/>
        </w:rPr>
        <w:t>运行</w:t>
      </w:r>
      <w:r>
        <w:rPr>
          <w:rFonts w:ascii="宋体" w:hAnsi="宋体" w:eastAsia="宋体"/>
          <w:sz w:val="21"/>
          <w:szCs w:val="21"/>
          <w:lang w:eastAsia="zh-CN"/>
        </w:rPr>
        <w:t>状态。</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4.2.2  </w:t>
      </w:r>
      <w:r>
        <w:rPr>
          <w:rFonts w:ascii="宋体" w:hAnsi="宋体" w:eastAsia="宋体"/>
          <w:sz w:val="21"/>
          <w:szCs w:val="21"/>
          <w:lang w:eastAsia="zh-CN"/>
        </w:rPr>
        <w:t>脚手架</w:t>
      </w:r>
      <w:r>
        <w:rPr>
          <w:rFonts w:hint="eastAsia" w:ascii="宋体" w:hAnsi="宋体" w:eastAsia="宋体"/>
          <w:sz w:val="21"/>
          <w:szCs w:val="21"/>
          <w:lang w:eastAsia="zh-CN"/>
        </w:rPr>
        <w:t>、</w:t>
      </w:r>
      <w:r>
        <w:rPr>
          <w:rFonts w:ascii="宋体" w:hAnsi="宋体" w:eastAsia="宋体"/>
          <w:sz w:val="21"/>
          <w:szCs w:val="21"/>
          <w:lang w:eastAsia="zh-CN"/>
        </w:rPr>
        <w:t>卸料平台</w:t>
      </w:r>
      <w:r>
        <w:rPr>
          <w:rFonts w:hint="eastAsia" w:ascii="宋体" w:hAnsi="宋体" w:eastAsia="宋体"/>
          <w:sz w:val="21"/>
          <w:szCs w:val="21"/>
          <w:lang w:eastAsia="zh-CN"/>
        </w:rPr>
        <w:t>、起重设备（如塔吊）、升降机等施工机械</w:t>
      </w:r>
      <w:r>
        <w:rPr>
          <w:rFonts w:ascii="宋体" w:hAnsi="宋体" w:eastAsia="宋体"/>
          <w:sz w:val="21"/>
          <w:szCs w:val="21"/>
          <w:lang w:eastAsia="zh-CN"/>
        </w:rPr>
        <w:t>的搭设应在所有方面都满足有关安全生产的法律、法规、规章</w:t>
      </w:r>
      <w:r>
        <w:rPr>
          <w:rFonts w:hint="eastAsia" w:ascii="宋体" w:hAnsi="宋体" w:eastAsia="宋体"/>
          <w:sz w:val="21"/>
          <w:szCs w:val="21"/>
          <w:lang w:eastAsia="zh-CN"/>
        </w:rPr>
        <w:t>、</w:t>
      </w:r>
      <w:r>
        <w:rPr>
          <w:rFonts w:ascii="宋体" w:hAnsi="宋体" w:eastAsia="宋体"/>
          <w:sz w:val="21"/>
          <w:szCs w:val="21"/>
          <w:lang w:eastAsia="zh-CN"/>
        </w:rPr>
        <w:t>政府有关机构制定的规范性文件</w:t>
      </w:r>
      <w:r>
        <w:rPr>
          <w:rFonts w:hint="eastAsia" w:ascii="宋体" w:hAnsi="宋体" w:eastAsia="宋体"/>
          <w:sz w:val="21"/>
          <w:szCs w:val="21"/>
          <w:lang w:eastAsia="zh-CN"/>
        </w:rPr>
        <w:t>和《中铁建工集团临建标准化强制做法管理手册（1.0版）》</w:t>
      </w:r>
      <w:r>
        <w:rPr>
          <w:rFonts w:ascii="宋体" w:hAnsi="宋体" w:eastAsia="宋体"/>
          <w:sz w:val="21"/>
          <w:szCs w:val="21"/>
          <w:lang w:eastAsia="zh-CN"/>
        </w:rPr>
        <w:t>等的要求；如果爬架、挂架、超高脚手架等特种或新型脚手架将被采用，承包人应确保此类脚手架的安全性和保证此类脚手架已经过政府有关机构允许使用的批准，并承担与此有关的一切费用。</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4.2.3  外立面含幕墙的建筑物在脚手架搭设时，须确保脚手架的搭设能满足幕墙施工要求。如脚手架不能满足幕墙施工要求，承包人需三天内无条件整改到位，相关费用包含在合同总价中，否则由此引起的一切损失由总包承担。</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4.2.4  为配合销售要求，部分外架需采取悬挑式脚手架。承包人需积极配合，不得拒绝。相关一切费用包含在投标报价中。</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4.2.5  </w:t>
      </w:r>
      <w:r>
        <w:rPr>
          <w:rFonts w:ascii="宋体" w:hAnsi="宋体" w:eastAsia="宋体"/>
          <w:sz w:val="21"/>
          <w:szCs w:val="21"/>
          <w:lang w:eastAsia="zh-CN"/>
        </w:rPr>
        <w:t>承包人应允许发包人、监理工程师和政府有关机构免费使用承包人在现场搭设的任何已有脚手架</w:t>
      </w:r>
      <w:r>
        <w:rPr>
          <w:rFonts w:hint="eastAsia" w:ascii="宋体" w:hAnsi="宋体" w:eastAsia="宋体"/>
          <w:sz w:val="21"/>
          <w:szCs w:val="21"/>
          <w:lang w:eastAsia="zh-CN"/>
        </w:rPr>
        <w:t>、施工机械</w:t>
      </w:r>
      <w:r>
        <w:rPr>
          <w:rFonts w:ascii="宋体" w:hAnsi="宋体" w:eastAsia="宋体"/>
          <w:sz w:val="21"/>
          <w:szCs w:val="21"/>
          <w:lang w:eastAsia="zh-CN"/>
        </w:rPr>
        <w:t>，并就其安全使用做必要交底说明；承包人在拆除任何脚手架</w:t>
      </w:r>
      <w:r>
        <w:rPr>
          <w:rFonts w:hint="eastAsia" w:ascii="宋体" w:hAnsi="宋体" w:eastAsia="宋体"/>
          <w:sz w:val="21"/>
          <w:szCs w:val="21"/>
          <w:lang w:eastAsia="zh-CN"/>
        </w:rPr>
        <w:t>、施工机械</w:t>
      </w:r>
      <w:r>
        <w:rPr>
          <w:rFonts w:ascii="宋体" w:hAnsi="宋体" w:eastAsia="宋体"/>
          <w:sz w:val="21"/>
          <w:szCs w:val="21"/>
          <w:lang w:eastAsia="zh-CN"/>
        </w:rPr>
        <w:t>前，应书面请示发包人和监理工程师将要拆除的脚手架</w:t>
      </w:r>
      <w:r>
        <w:rPr>
          <w:rFonts w:hint="eastAsia" w:ascii="宋体" w:hAnsi="宋体" w:eastAsia="宋体"/>
          <w:sz w:val="21"/>
          <w:szCs w:val="21"/>
          <w:lang w:eastAsia="zh-CN"/>
        </w:rPr>
        <w:t>、施工机械</w:t>
      </w:r>
      <w:r>
        <w:rPr>
          <w:rFonts w:ascii="宋体" w:hAnsi="宋体" w:eastAsia="宋体"/>
          <w:sz w:val="21"/>
          <w:szCs w:val="21"/>
          <w:lang w:eastAsia="zh-CN"/>
        </w:rPr>
        <w:t>是否为发包人、监理工程师和政府有关机构所需，只有在获得发包人和监理工程师书面批准后，承包人才能拆除相关脚手架</w:t>
      </w:r>
      <w:r>
        <w:rPr>
          <w:rFonts w:hint="eastAsia" w:ascii="宋体" w:hAnsi="宋体" w:eastAsia="宋体"/>
          <w:sz w:val="21"/>
          <w:szCs w:val="21"/>
          <w:lang w:eastAsia="zh-CN"/>
        </w:rPr>
        <w:t>、施工机械</w:t>
      </w:r>
      <w:r>
        <w:rPr>
          <w:rFonts w:ascii="宋体" w:hAnsi="宋体" w:eastAsia="宋体"/>
          <w:sz w:val="21"/>
          <w:szCs w:val="21"/>
          <w:lang w:eastAsia="zh-CN"/>
        </w:rPr>
        <w:t>，否则承包人应自费重新搭设</w:t>
      </w:r>
      <w:r>
        <w:rPr>
          <w:rFonts w:hint="eastAsia" w:ascii="宋体" w:hAnsi="宋体" w:eastAsia="宋体"/>
          <w:sz w:val="21"/>
          <w:szCs w:val="21"/>
          <w:lang w:eastAsia="zh-CN"/>
        </w:rPr>
        <w:t>、安装</w:t>
      </w:r>
      <w:r>
        <w:rPr>
          <w:rFonts w:ascii="宋体" w:hAnsi="宋体" w:eastAsia="宋体"/>
          <w:sz w:val="21"/>
          <w:szCs w:val="21"/>
          <w:lang w:eastAsia="zh-CN"/>
        </w:rPr>
        <w:t>。</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4.2.6  </w:t>
      </w:r>
      <w:r>
        <w:rPr>
          <w:rFonts w:ascii="宋体" w:hAnsi="宋体" w:eastAsia="宋体"/>
          <w:sz w:val="21"/>
          <w:szCs w:val="21"/>
          <w:lang w:eastAsia="zh-CN"/>
        </w:rPr>
        <w:t>所有施工机械的维修须</w:t>
      </w:r>
      <w:r>
        <w:rPr>
          <w:rFonts w:hint="eastAsia" w:ascii="宋体" w:hAnsi="宋体" w:eastAsia="宋体"/>
          <w:sz w:val="21"/>
          <w:szCs w:val="21"/>
          <w:lang w:eastAsia="zh-CN"/>
        </w:rPr>
        <w:t>不能影响现场工程的施工</w:t>
      </w:r>
      <w:r>
        <w:rPr>
          <w:rFonts w:ascii="宋体" w:hAnsi="宋体" w:eastAsia="宋体"/>
          <w:sz w:val="21"/>
          <w:szCs w:val="21"/>
          <w:lang w:eastAsia="zh-CN"/>
        </w:rPr>
        <w:t>。为了保证工程不因任何一部机械的损坏而中断，承包人应提供足够的各种类型的备用施工机械。</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4.2.7  </w:t>
      </w:r>
      <w:r>
        <w:rPr>
          <w:rFonts w:ascii="宋体" w:hAnsi="宋体" w:eastAsia="宋体"/>
          <w:sz w:val="21"/>
          <w:szCs w:val="21"/>
          <w:lang w:eastAsia="zh-CN"/>
        </w:rPr>
        <w:t>承包人须提供适当的楼梯和通道，以便发包人及其代表、监理工程师及</w:t>
      </w:r>
      <w:r>
        <w:rPr>
          <w:rFonts w:hint="eastAsia" w:ascii="宋体" w:hAnsi="宋体" w:eastAsia="宋体"/>
          <w:sz w:val="21"/>
          <w:szCs w:val="21"/>
          <w:lang w:eastAsia="zh-CN"/>
        </w:rPr>
        <w:t>其他</w:t>
      </w:r>
      <w:r>
        <w:rPr>
          <w:rFonts w:ascii="宋体" w:hAnsi="宋体" w:eastAsia="宋体"/>
          <w:sz w:val="21"/>
          <w:szCs w:val="21"/>
          <w:lang w:eastAsia="zh-CN"/>
        </w:rPr>
        <w:t>人员能在保证安全的情况下，对工程的任何部分进行日常检查。</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4</w:t>
      </w:r>
      <w:r>
        <w:rPr>
          <w:rFonts w:ascii="宋体" w:hAnsi="宋体" w:eastAsia="宋体"/>
          <w:sz w:val="21"/>
          <w:szCs w:val="21"/>
          <w:lang w:eastAsia="zh-CN"/>
        </w:rPr>
        <w:t xml:space="preserve">.2.8  </w:t>
      </w:r>
      <w:r>
        <w:rPr>
          <w:rFonts w:hint="eastAsia" w:ascii="宋体" w:hAnsi="宋体" w:eastAsia="宋体"/>
          <w:sz w:val="21"/>
          <w:szCs w:val="21"/>
          <w:lang w:eastAsia="zh-CN"/>
        </w:rPr>
        <w:t>承包人应考虑发包人外幕墙形式，制定外围护架专项搭设方案。并充分考虑施工外梯与主楼结构的连接方式</w:t>
      </w:r>
      <w:r>
        <w:rPr>
          <w:rFonts w:hint="eastAsia" w:ascii="宋体" w:hAnsi="宋体" w:eastAsia="宋体"/>
          <w:sz w:val="21"/>
          <w:szCs w:val="21"/>
          <w:highlight w:val="none"/>
          <w:lang w:eastAsia="zh-CN"/>
        </w:rPr>
        <w:t>。以上方案</w:t>
      </w:r>
      <w:r>
        <w:rPr>
          <w:rFonts w:hint="eastAsia" w:ascii="宋体" w:hAnsi="宋体" w:eastAsia="宋体"/>
          <w:sz w:val="21"/>
          <w:szCs w:val="21"/>
          <w:lang w:eastAsia="zh-CN"/>
        </w:rPr>
        <w:t>经专家论证后，报监理人及发包人审批。</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4</w:t>
      </w:r>
      <w:r>
        <w:rPr>
          <w:rFonts w:ascii="宋体" w:hAnsi="宋体" w:eastAsia="宋体"/>
          <w:sz w:val="21"/>
          <w:szCs w:val="21"/>
          <w:lang w:eastAsia="zh-CN"/>
        </w:rPr>
        <w:t xml:space="preserve">.2.9 </w:t>
      </w:r>
      <w:r>
        <w:rPr>
          <w:rFonts w:hint="eastAsia" w:ascii="宋体" w:hAnsi="宋体" w:eastAsia="宋体"/>
          <w:sz w:val="21"/>
          <w:szCs w:val="21"/>
          <w:lang w:eastAsia="zh-CN"/>
        </w:rPr>
        <w:t>承包人应在</w:t>
      </w:r>
      <w:r>
        <w:rPr>
          <w:rFonts w:ascii="宋体" w:hAnsi="宋体" w:eastAsia="宋体"/>
          <w:sz w:val="21"/>
          <w:szCs w:val="21"/>
          <w:highlight w:val="none"/>
          <w:lang w:eastAsia="zh-CN"/>
        </w:rPr>
        <w:t>2023</w:t>
      </w:r>
      <w:r>
        <w:rPr>
          <w:rFonts w:hint="eastAsia" w:ascii="宋体" w:hAnsi="宋体" w:eastAsia="宋体"/>
          <w:sz w:val="21"/>
          <w:szCs w:val="21"/>
          <w:highlight w:val="none"/>
          <w:lang w:eastAsia="zh-CN"/>
        </w:rPr>
        <w:t>年</w:t>
      </w:r>
      <w:r>
        <w:rPr>
          <w:rFonts w:ascii="宋体" w:hAnsi="宋体" w:eastAsia="宋体"/>
          <w:sz w:val="21"/>
          <w:szCs w:val="21"/>
          <w:highlight w:val="none"/>
          <w:lang w:eastAsia="zh-CN"/>
        </w:rPr>
        <w:t>11</w:t>
      </w:r>
      <w:r>
        <w:rPr>
          <w:rFonts w:hint="eastAsia" w:ascii="宋体" w:hAnsi="宋体" w:eastAsia="宋体"/>
          <w:sz w:val="21"/>
          <w:szCs w:val="21"/>
          <w:highlight w:val="none"/>
          <w:lang w:eastAsia="zh-CN"/>
        </w:rPr>
        <w:t>月</w:t>
      </w:r>
      <w:r>
        <w:rPr>
          <w:rFonts w:ascii="宋体" w:hAnsi="宋体" w:eastAsia="宋体"/>
          <w:sz w:val="21"/>
          <w:szCs w:val="21"/>
          <w:highlight w:val="none"/>
          <w:lang w:eastAsia="zh-CN"/>
        </w:rPr>
        <w:t>30</w:t>
      </w:r>
      <w:r>
        <w:rPr>
          <w:rFonts w:hint="eastAsia" w:ascii="宋体" w:hAnsi="宋体" w:eastAsia="宋体"/>
          <w:sz w:val="21"/>
          <w:szCs w:val="21"/>
          <w:highlight w:val="none"/>
          <w:lang w:eastAsia="zh-CN"/>
        </w:rPr>
        <w:t>日前将所有外幕墙工作施工完成，并将全部外架拆除完成。</w:t>
      </w:r>
    </w:p>
    <w:p>
      <w:pPr>
        <w:pStyle w:val="3"/>
        <w:spacing w:before="0" w:after="0" w:line="276" w:lineRule="auto"/>
        <w:ind w:firstLine="413" w:firstLineChars="196"/>
        <w:rPr>
          <w:rFonts w:ascii="宋体" w:hAnsi="宋体"/>
          <w:sz w:val="21"/>
          <w:szCs w:val="21"/>
        </w:rPr>
      </w:pPr>
      <w:bookmarkStart w:id="51" w:name="_Toc167070312"/>
      <w:bookmarkStart w:id="52" w:name="_Toc166395993"/>
      <w:bookmarkStart w:id="53" w:name="_Toc144459623"/>
      <w:bookmarkStart w:id="54" w:name="_Toc404603786"/>
      <w:bookmarkStart w:id="55" w:name="_Toc405535527"/>
      <w:bookmarkStart w:id="56" w:name="_Toc404565083"/>
      <w:r>
        <w:rPr>
          <w:rFonts w:hint="eastAsia" w:ascii="宋体" w:hAnsi="宋体"/>
          <w:sz w:val="21"/>
          <w:szCs w:val="21"/>
        </w:rPr>
        <w:t>4.3  混凝土、钢筋混凝土模板及</w:t>
      </w:r>
      <w:bookmarkEnd w:id="51"/>
      <w:bookmarkEnd w:id="52"/>
      <w:r>
        <w:rPr>
          <w:rFonts w:hint="eastAsia" w:ascii="宋体" w:hAnsi="宋体"/>
          <w:sz w:val="21"/>
          <w:szCs w:val="21"/>
        </w:rPr>
        <w:t>临边围护</w:t>
      </w:r>
      <w:bookmarkEnd w:id="53"/>
      <w:bookmarkEnd w:id="54"/>
      <w:bookmarkEnd w:id="55"/>
      <w:bookmarkEnd w:id="56"/>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4.3.1  </w:t>
      </w:r>
      <w:r>
        <w:rPr>
          <w:rFonts w:ascii="宋体" w:hAnsi="宋体" w:eastAsia="宋体"/>
          <w:sz w:val="21"/>
          <w:szCs w:val="21"/>
          <w:lang w:eastAsia="zh-CN"/>
        </w:rPr>
        <w:t>承包人</w:t>
      </w:r>
      <w:r>
        <w:rPr>
          <w:rFonts w:hint="eastAsia" w:ascii="宋体" w:hAnsi="宋体" w:eastAsia="宋体"/>
          <w:sz w:val="21"/>
          <w:szCs w:val="21"/>
          <w:lang w:eastAsia="zh-CN"/>
        </w:rPr>
        <w:t>负责所有混凝土、钢筋混凝土模板及支架、降水等</w:t>
      </w:r>
      <w:r>
        <w:rPr>
          <w:rFonts w:ascii="宋体" w:hAnsi="宋体" w:eastAsia="宋体"/>
          <w:sz w:val="21"/>
          <w:szCs w:val="21"/>
          <w:lang w:eastAsia="zh-CN"/>
        </w:rPr>
        <w:t>所有临时工程的设计</w:t>
      </w:r>
      <w:r>
        <w:rPr>
          <w:rFonts w:hint="eastAsia" w:ascii="宋体" w:hAnsi="宋体" w:eastAsia="宋体"/>
          <w:sz w:val="21"/>
          <w:szCs w:val="21"/>
          <w:lang w:eastAsia="zh-CN"/>
        </w:rPr>
        <w:t>与施工</w:t>
      </w:r>
      <w:r>
        <w:rPr>
          <w:rFonts w:ascii="宋体" w:hAnsi="宋体" w:eastAsia="宋体"/>
          <w:sz w:val="21"/>
          <w:szCs w:val="21"/>
          <w:lang w:eastAsia="zh-CN"/>
        </w:rPr>
        <w:t>，包括模板体系、支撑体系和支护系统等等</w:t>
      </w:r>
      <w:r>
        <w:rPr>
          <w:rFonts w:hint="eastAsia" w:ascii="宋体" w:hAnsi="宋体" w:eastAsia="宋体"/>
          <w:sz w:val="21"/>
          <w:szCs w:val="21"/>
          <w:lang w:eastAsia="zh-CN"/>
        </w:rPr>
        <w:t>，</w:t>
      </w:r>
      <w:r>
        <w:rPr>
          <w:rFonts w:ascii="宋体" w:hAnsi="宋体" w:eastAsia="宋体"/>
          <w:sz w:val="21"/>
          <w:szCs w:val="21"/>
          <w:lang w:eastAsia="zh-CN"/>
        </w:rPr>
        <w:t>承包人应</w:t>
      </w:r>
      <w:r>
        <w:rPr>
          <w:rFonts w:hint="eastAsia" w:ascii="宋体" w:hAnsi="宋体" w:eastAsia="宋体"/>
          <w:sz w:val="21"/>
          <w:szCs w:val="21"/>
          <w:lang w:eastAsia="zh-CN"/>
        </w:rPr>
        <w:t>对所有承包人负责的</w:t>
      </w:r>
      <w:r>
        <w:rPr>
          <w:rFonts w:ascii="宋体" w:hAnsi="宋体" w:eastAsia="宋体"/>
          <w:sz w:val="21"/>
          <w:szCs w:val="21"/>
          <w:lang w:eastAsia="zh-CN"/>
        </w:rPr>
        <w:t>临时工程的稳定及安全性</w:t>
      </w:r>
      <w:r>
        <w:rPr>
          <w:rFonts w:hint="eastAsia" w:ascii="宋体" w:hAnsi="宋体" w:eastAsia="宋体"/>
          <w:sz w:val="21"/>
          <w:szCs w:val="21"/>
          <w:lang w:eastAsia="zh-CN"/>
        </w:rPr>
        <w:t>负责。</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4.3.2  </w:t>
      </w:r>
      <w:r>
        <w:rPr>
          <w:rFonts w:ascii="宋体" w:hAnsi="宋体" w:eastAsia="宋体"/>
          <w:sz w:val="21"/>
          <w:szCs w:val="21"/>
          <w:lang w:eastAsia="zh-CN"/>
        </w:rPr>
        <w:t>如果发包人和监理工程师认为某个临时工程的设计需要经过审批，承包人应提供相应的图纸和计算书，而此等图纸和计算书须经具相应资格的专业人员签字。所有方案的提交，承包人应预留足够时间供发包人和监理工程师审批。</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4.3.3  </w:t>
      </w:r>
      <w:r>
        <w:rPr>
          <w:rFonts w:ascii="宋体" w:hAnsi="宋体" w:eastAsia="宋体"/>
          <w:sz w:val="21"/>
          <w:szCs w:val="21"/>
          <w:lang w:eastAsia="zh-CN"/>
        </w:rPr>
        <w:t>发包人或监理工程师对该等临时工程的任何修改意见或批核，并不减轻承包人的任何责任</w:t>
      </w:r>
      <w:r>
        <w:rPr>
          <w:rFonts w:hint="eastAsia" w:ascii="宋体" w:hAnsi="宋体" w:eastAsia="宋体"/>
          <w:sz w:val="21"/>
          <w:szCs w:val="21"/>
          <w:lang w:eastAsia="zh-CN"/>
        </w:rPr>
        <w:t>，</w:t>
      </w:r>
      <w:r>
        <w:rPr>
          <w:rFonts w:ascii="宋体" w:hAnsi="宋体" w:eastAsia="宋体"/>
          <w:sz w:val="21"/>
          <w:szCs w:val="21"/>
          <w:lang w:eastAsia="zh-CN"/>
        </w:rPr>
        <w:t>承包人对</w:t>
      </w:r>
      <w:r>
        <w:rPr>
          <w:rFonts w:hint="eastAsia" w:ascii="宋体" w:hAnsi="宋体" w:eastAsia="宋体"/>
          <w:sz w:val="21"/>
          <w:szCs w:val="21"/>
          <w:lang w:eastAsia="zh-CN"/>
        </w:rPr>
        <w:t>临时工程的</w:t>
      </w:r>
      <w:r>
        <w:rPr>
          <w:rFonts w:ascii="宋体" w:hAnsi="宋体" w:eastAsia="宋体"/>
          <w:sz w:val="21"/>
          <w:szCs w:val="21"/>
          <w:lang w:eastAsia="zh-CN"/>
        </w:rPr>
        <w:t>设计及方案须负全部的责任。</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4.3.</w:t>
      </w:r>
      <w:r>
        <w:rPr>
          <w:rFonts w:ascii="宋体" w:hAnsi="宋体" w:eastAsia="宋体"/>
          <w:sz w:val="21"/>
          <w:szCs w:val="21"/>
          <w:lang w:eastAsia="zh-CN"/>
        </w:rPr>
        <w:t>4</w:t>
      </w:r>
      <w:r>
        <w:rPr>
          <w:rFonts w:hint="eastAsia" w:ascii="宋体" w:hAnsi="宋体" w:eastAsia="宋体"/>
          <w:sz w:val="21"/>
          <w:szCs w:val="21"/>
          <w:lang w:eastAsia="zh-CN"/>
        </w:rPr>
        <w:t xml:space="preserve"> </w:t>
      </w:r>
      <w:r>
        <w:rPr>
          <w:rFonts w:ascii="宋体" w:hAnsi="宋体" w:eastAsia="宋体"/>
          <w:sz w:val="21"/>
          <w:szCs w:val="21"/>
          <w:lang w:eastAsia="zh-CN"/>
        </w:rPr>
        <w:t xml:space="preserve"> 承包人应对任何施工中的永久工程进行必要的支撑或临时加固</w:t>
      </w:r>
      <w:r>
        <w:rPr>
          <w:rFonts w:hint="eastAsia" w:ascii="宋体" w:hAnsi="宋体" w:eastAsia="宋体"/>
          <w:sz w:val="21"/>
          <w:szCs w:val="21"/>
          <w:lang w:eastAsia="zh-CN"/>
        </w:rPr>
        <w:t>；</w:t>
      </w:r>
      <w:r>
        <w:rPr>
          <w:rFonts w:ascii="宋体" w:hAnsi="宋体" w:eastAsia="宋体"/>
          <w:sz w:val="21"/>
          <w:szCs w:val="21"/>
          <w:lang w:eastAsia="zh-CN"/>
        </w:rPr>
        <w:t>不允许承包人在任何已完成的永久性结构上堆放超过设计允许荷载的任何材料、物品或设备，除非承包人已获得发包人和监理工程师书面许可并按要求进行了必要的加固或支撑；尽管如此，承包人应对任何上述超载行为引起的后果负责，并承担相应的修缮费用。</w:t>
      </w:r>
    </w:p>
    <w:p>
      <w:pPr>
        <w:pStyle w:val="3"/>
        <w:spacing w:before="0" w:after="0" w:line="276" w:lineRule="auto"/>
        <w:ind w:firstLine="413" w:firstLineChars="196"/>
        <w:rPr>
          <w:rFonts w:ascii="宋体" w:hAnsi="宋体"/>
          <w:sz w:val="21"/>
          <w:szCs w:val="21"/>
        </w:rPr>
      </w:pPr>
      <w:bookmarkStart w:id="57" w:name="_Toc167070313"/>
      <w:bookmarkStart w:id="58" w:name="_Toc405535528"/>
      <w:bookmarkStart w:id="59" w:name="_Toc166395994"/>
      <w:bookmarkStart w:id="60" w:name="_Toc404565084"/>
      <w:bookmarkStart w:id="61" w:name="_Toc404603787"/>
      <w:bookmarkStart w:id="62" w:name="_Toc144459624"/>
      <w:r>
        <w:rPr>
          <w:rFonts w:hint="eastAsia" w:ascii="宋体" w:hAnsi="宋体"/>
          <w:sz w:val="21"/>
          <w:szCs w:val="21"/>
        </w:rPr>
        <w:t xml:space="preserve">4.4  </w:t>
      </w:r>
      <w:r>
        <w:rPr>
          <w:rFonts w:ascii="宋体" w:hAnsi="宋体"/>
          <w:sz w:val="21"/>
          <w:szCs w:val="21"/>
        </w:rPr>
        <w:t>安全</w:t>
      </w:r>
      <w:r>
        <w:rPr>
          <w:rFonts w:hint="eastAsia" w:ascii="宋体" w:hAnsi="宋体"/>
          <w:sz w:val="21"/>
          <w:szCs w:val="21"/>
        </w:rPr>
        <w:t>、文明</w:t>
      </w:r>
      <w:r>
        <w:rPr>
          <w:rFonts w:ascii="宋体" w:hAnsi="宋体"/>
          <w:sz w:val="21"/>
          <w:szCs w:val="21"/>
        </w:rPr>
        <w:t>施工</w:t>
      </w:r>
      <w:bookmarkEnd w:id="57"/>
      <w:bookmarkEnd w:id="58"/>
      <w:bookmarkEnd w:id="59"/>
      <w:bookmarkEnd w:id="60"/>
      <w:bookmarkEnd w:id="61"/>
      <w:bookmarkEnd w:id="62"/>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ascii="宋体" w:hAnsi="宋体" w:eastAsia="宋体"/>
          <w:sz w:val="21"/>
          <w:szCs w:val="21"/>
          <w:lang w:eastAsia="zh-CN"/>
        </w:rPr>
        <w:t>承包人应严格遵守国家及当地政府有关部门对安全生产、文明施工的规定和</w:t>
      </w:r>
      <w:r>
        <w:rPr>
          <w:rFonts w:hint="eastAsia" w:ascii="宋体" w:hAnsi="宋体" w:eastAsia="宋体"/>
          <w:sz w:val="21"/>
          <w:szCs w:val="21"/>
          <w:lang w:eastAsia="zh-CN"/>
        </w:rPr>
        <w:t>《中铁建工集团临建标准化强制做法管理手册（1.0版）》的</w:t>
      </w:r>
      <w:r>
        <w:rPr>
          <w:rFonts w:ascii="宋体" w:hAnsi="宋体" w:eastAsia="宋体"/>
          <w:sz w:val="21"/>
          <w:szCs w:val="21"/>
          <w:lang w:eastAsia="zh-CN"/>
        </w:rPr>
        <w:t>要求，承包人的投标报价，不论是否填报此项目报价，将被视为投标金额中已包括所需的任何有关安全及文明施工措施费用</w:t>
      </w:r>
      <w:r>
        <w:rPr>
          <w:rFonts w:hint="eastAsia" w:ascii="宋体" w:hAnsi="宋体" w:eastAsia="宋体"/>
          <w:sz w:val="21"/>
          <w:szCs w:val="21"/>
          <w:lang w:eastAsia="zh-CN"/>
        </w:rPr>
        <w:t>。</w:t>
      </w:r>
    </w:p>
    <w:p>
      <w:pPr>
        <w:pStyle w:val="10"/>
        <w:adjustRightInd/>
        <w:spacing w:after="0" w:line="276" w:lineRule="auto"/>
        <w:ind w:firstLine="420" w:firstLineChars="200"/>
        <w:jc w:val="both"/>
        <w:textAlignment w:val="auto"/>
        <w:rPr>
          <w:rFonts w:ascii="宋体" w:hAnsi="宋体" w:eastAsia="宋体"/>
          <w:sz w:val="21"/>
          <w:szCs w:val="21"/>
          <w:lang w:eastAsia="zh-CN"/>
        </w:rPr>
      </w:pPr>
      <w:bookmarkStart w:id="63" w:name="_Toc166395995"/>
      <w:bookmarkStart w:id="64" w:name="_Toc167070314"/>
      <w:r>
        <w:rPr>
          <w:rFonts w:hint="eastAsia" w:ascii="宋体" w:hAnsi="宋体" w:eastAsia="宋体"/>
          <w:sz w:val="21"/>
          <w:szCs w:val="21"/>
          <w:lang w:eastAsia="zh-CN"/>
        </w:rPr>
        <w:t>4.4.1  安全施工</w:t>
      </w:r>
      <w:bookmarkEnd w:id="63"/>
      <w:bookmarkEnd w:id="64"/>
    </w:p>
    <w:p>
      <w:pPr>
        <w:pStyle w:val="10"/>
        <w:adjustRightInd/>
        <w:spacing w:after="0" w:line="276" w:lineRule="auto"/>
        <w:ind w:firstLine="420" w:firstLineChars="200"/>
        <w:jc w:val="both"/>
        <w:textAlignment w:val="auto"/>
        <w:rPr>
          <w:rFonts w:ascii="宋体" w:hAnsi="宋体" w:eastAsia="宋体"/>
          <w:sz w:val="21"/>
          <w:szCs w:val="21"/>
          <w:lang w:eastAsia="zh-CN"/>
        </w:rPr>
      </w:pPr>
      <w:bookmarkStart w:id="65" w:name="_Toc166395996"/>
      <w:bookmarkStart w:id="66" w:name="_Toc167070315"/>
      <w:r>
        <w:rPr>
          <w:rFonts w:hint="eastAsia" w:ascii="宋体" w:hAnsi="宋体" w:eastAsia="宋体"/>
          <w:sz w:val="21"/>
          <w:szCs w:val="21"/>
          <w:lang w:eastAsia="zh-CN"/>
        </w:rPr>
        <w:t xml:space="preserve">4.4.1.1  </w:t>
      </w:r>
      <w:r>
        <w:rPr>
          <w:rFonts w:ascii="宋体" w:hAnsi="宋体" w:eastAsia="宋体"/>
          <w:sz w:val="21"/>
          <w:szCs w:val="21"/>
          <w:lang w:eastAsia="zh-CN"/>
        </w:rPr>
        <w:t>安全生产及防护措施</w:t>
      </w:r>
      <w:bookmarkEnd w:id="65"/>
      <w:bookmarkEnd w:id="66"/>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施工期间承包人须对工程现场所有人员的安全负责。切实对他们进行安全教育，要求现场所有人员严格遵守《安全生产管理条例》，采取必要的安全防护措施，消除事故隐患，并随时接受行业安全检查人员依法实施的监督检查。安全生产的</w:t>
      </w:r>
      <w:r>
        <w:rPr>
          <w:rFonts w:ascii="宋体" w:hAnsi="宋体" w:eastAsia="宋体"/>
          <w:sz w:val="21"/>
          <w:szCs w:val="21"/>
          <w:lang w:eastAsia="zh-CN"/>
        </w:rPr>
        <w:t>具体措施要求包括</w:t>
      </w:r>
      <w:r>
        <w:rPr>
          <w:rFonts w:hint="eastAsia" w:ascii="宋体" w:hAnsi="宋体" w:eastAsia="宋体"/>
          <w:sz w:val="21"/>
          <w:szCs w:val="21"/>
          <w:lang w:eastAsia="zh-CN"/>
        </w:rPr>
        <w:t>（</w:t>
      </w:r>
      <w:r>
        <w:rPr>
          <w:rFonts w:ascii="宋体" w:hAnsi="宋体" w:eastAsia="宋体"/>
          <w:sz w:val="21"/>
          <w:szCs w:val="21"/>
          <w:lang w:eastAsia="zh-CN"/>
        </w:rPr>
        <w:t>但不限于</w:t>
      </w:r>
      <w:r>
        <w:rPr>
          <w:rFonts w:hint="eastAsia" w:ascii="宋体" w:hAnsi="宋体" w:eastAsia="宋体"/>
          <w:sz w:val="21"/>
          <w:szCs w:val="21"/>
          <w:lang w:eastAsia="zh-CN"/>
        </w:rPr>
        <w:t>）</w:t>
      </w:r>
      <w:r>
        <w:rPr>
          <w:rFonts w:ascii="宋体" w:hAnsi="宋体" w:eastAsia="宋体"/>
          <w:sz w:val="21"/>
          <w:szCs w:val="21"/>
          <w:lang w:eastAsia="zh-CN"/>
        </w:rPr>
        <w:t>以下项目：</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4.4.1.1.1  </w:t>
      </w:r>
      <w:r>
        <w:rPr>
          <w:rFonts w:ascii="宋体" w:hAnsi="宋体" w:eastAsia="宋体"/>
          <w:sz w:val="21"/>
          <w:szCs w:val="21"/>
          <w:lang w:eastAsia="zh-CN"/>
        </w:rPr>
        <w:t xml:space="preserve">三宝，即：安全网、安全带、安全帽； </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4.4.1.1.2  </w:t>
      </w:r>
      <w:r>
        <w:rPr>
          <w:rFonts w:ascii="宋体" w:hAnsi="宋体" w:eastAsia="宋体"/>
          <w:sz w:val="21"/>
          <w:szCs w:val="21"/>
          <w:lang w:eastAsia="zh-CN"/>
        </w:rPr>
        <w:t>四口，即：楼梯口、电梯口、通道口、预留洞口；</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4.4.1.1.3  </w:t>
      </w:r>
      <w:r>
        <w:rPr>
          <w:rFonts w:ascii="宋体" w:hAnsi="宋体" w:eastAsia="宋体"/>
          <w:sz w:val="21"/>
          <w:szCs w:val="21"/>
          <w:lang w:eastAsia="zh-CN"/>
        </w:rPr>
        <w:t>临边，即：</w:t>
      </w:r>
      <w:r>
        <w:rPr>
          <w:rFonts w:hint="eastAsia" w:ascii="宋体" w:hAnsi="宋体" w:eastAsia="宋体"/>
          <w:color w:val="auto"/>
          <w:sz w:val="21"/>
          <w:szCs w:val="21"/>
          <w:lang w:eastAsia="zh-CN"/>
        </w:rPr>
        <w:t>露台</w:t>
      </w:r>
      <w:r>
        <w:rPr>
          <w:rFonts w:ascii="宋体" w:hAnsi="宋体" w:eastAsia="宋体"/>
          <w:sz w:val="21"/>
          <w:szCs w:val="21"/>
          <w:lang w:eastAsia="zh-CN"/>
        </w:rPr>
        <w:t xml:space="preserve">周边、楼板周边、屋面周边、基坑周边、接料平台的两侧等； </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4.4.1.1.4  </w:t>
      </w:r>
      <w:r>
        <w:rPr>
          <w:rFonts w:ascii="宋体" w:hAnsi="宋体" w:eastAsia="宋体"/>
          <w:sz w:val="21"/>
          <w:szCs w:val="21"/>
          <w:lang w:eastAsia="zh-CN"/>
        </w:rPr>
        <w:t xml:space="preserve">内外脚手架，即：落地架、悬挑架、门架、附着式提升架； </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4.4.1.1.5  </w:t>
      </w:r>
      <w:r>
        <w:rPr>
          <w:rFonts w:ascii="宋体" w:hAnsi="宋体" w:eastAsia="宋体"/>
          <w:sz w:val="21"/>
          <w:szCs w:val="21"/>
          <w:lang w:eastAsia="zh-CN"/>
        </w:rPr>
        <w:t xml:space="preserve">施工用电，即：标准化电箱、电器保护装置、电源线路的敷设、外电防护措施； </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4.4.1.1.6  </w:t>
      </w:r>
      <w:r>
        <w:rPr>
          <w:rFonts w:ascii="宋体" w:hAnsi="宋体" w:eastAsia="宋体"/>
          <w:sz w:val="21"/>
          <w:szCs w:val="21"/>
          <w:lang w:eastAsia="zh-CN"/>
        </w:rPr>
        <w:t xml:space="preserve">施工机械与用具，即：设备检验检测、维修保养、安全检测检验设备与仪器等； </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4.4.1.1.7  </w:t>
      </w:r>
      <w:r>
        <w:rPr>
          <w:rFonts w:ascii="宋体" w:hAnsi="宋体" w:eastAsia="宋体"/>
          <w:sz w:val="21"/>
          <w:szCs w:val="21"/>
          <w:lang w:eastAsia="zh-CN"/>
        </w:rPr>
        <w:t xml:space="preserve">劳动保护、安全教育培训； </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 xml:space="preserve">4.4.1.1.8  </w:t>
      </w:r>
      <w:r>
        <w:rPr>
          <w:rFonts w:ascii="宋体" w:hAnsi="宋体" w:eastAsia="宋体"/>
          <w:sz w:val="21"/>
          <w:szCs w:val="21"/>
          <w:lang w:eastAsia="zh-CN"/>
        </w:rPr>
        <w:t xml:space="preserve">其它安全防护措施。 </w:t>
      </w:r>
    </w:p>
    <w:p>
      <w:pPr>
        <w:pStyle w:val="10"/>
        <w:adjustRightInd/>
        <w:spacing w:after="0" w:line="276" w:lineRule="auto"/>
        <w:ind w:firstLine="420" w:firstLineChars="200"/>
        <w:jc w:val="both"/>
        <w:textAlignment w:val="auto"/>
        <w:rPr>
          <w:rFonts w:ascii="宋体" w:hAnsi="宋体" w:eastAsia="宋体"/>
          <w:sz w:val="21"/>
          <w:szCs w:val="21"/>
          <w:lang w:eastAsia="zh-CN"/>
        </w:rPr>
      </w:pPr>
      <w:r>
        <w:rPr>
          <w:rFonts w:hint="eastAsia" w:ascii="宋体" w:hAnsi="宋体" w:eastAsia="宋体"/>
          <w:sz w:val="21"/>
          <w:szCs w:val="21"/>
          <w:lang w:eastAsia="zh-CN"/>
        </w:rPr>
        <w:t>承包人在施工前应了解高压电线或电缆布置情况，配合电力相关部门按有关要求对其进行保护，相关一切费用视为已包含在投标报价中。</w:t>
      </w:r>
    </w:p>
    <w:p>
      <w:pPr>
        <w:autoSpaceDE w:val="0"/>
        <w:autoSpaceDN w:val="0"/>
        <w:spacing w:line="276" w:lineRule="auto"/>
        <w:ind w:left="2" w:leftChars="1" w:right="25" w:rightChars="12" w:firstLine="420" w:firstLineChars="200"/>
        <w:rPr>
          <w:rFonts w:ascii="宋体" w:hAnsi="宋体"/>
        </w:rPr>
      </w:pPr>
      <w:r>
        <w:rPr>
          <w:rFonts w:hint="eastAsia" w:ascii="宋体" w:hAnsi="宋体"/>
        </w:rPr>
        <w:t>承包人须在现场指派具有相应资格的安全工程师，全职负责及督促落实上述安全措施。发包人与监理工程师或政府有关部门认为承包人在工地的安全设施或处理方法不符合要求，发包人有权发出停工指令要求整改直至符合安全要求。因停工造成的任何损失由承包人负责，工期不予顺延。</w:t>
      </w:r>
    </w:p>
    <w:p>
      <w:pPr>
        <w:autoSpaceDE w:val="0"/>
        <w:autoSpaceDN w:val="0"/>
        <w:spacing w:line="276" w:lineRule="auto"/>
        <w:ind w:left="2" w:leftChars="1" w:right="25" w:rightChars="12" w:firstLine="420" w:firstLineChars="200"/>
        <w:rPr>
          <w:rFonts w:ascii="宋体" w:hAnsi="宋体"/>
        </w:rPr>
      </w:pPr>
      <w:bookmarkStart w:id="67" w:name="_Toc166395997"/>
      <w:bookmarkStart w:id="68" w:name="_Toc167070316"/>
      <w:r>
        <w:rPr>
          <w:rFonts w:hint="eastAsia" w:ascii="宋体" w:hAnsi="宋体"/>
        </w:rPr>
        <w:t xml:space="preserve">4.4.1.2  </w:t>
      </w:r>
      <w:r>
        <w:rPr>
          <w:rFonts w:ascii="宋体" w:hAnsi="宋体"/>
        </w:rPr>
        <w:t>消防设备</w:t>
      </w:r>
      <w:bookmarkEnd w:id="67"/>
      <w:bookmarkEnd w:id="68"/>
    </w:p>
    <w:p>
      <w:pPr>
        <w:autoSpaceDE w:val="0"/>
        <w:autoSpaceDN w:val="0"/>
        <w:spacing w:line="276" w:lineRule="auto"/>
        <w:ind w:left="2" w:leftChars="1" w:right="25" w:rightChars="12" w:firstLine="420" w:firstLineChars="200"/>
        <w:rPr>
          <w:rFonts w:ascii="宋体" w:hAnsi="宋体"/>
        </w:rPr>
      </w:pPr>
      <w:r>
        <w:rPr>
          <w:rFonts w:hint="eastAsia" w:ascii="宋体" w:hAnsi="宋体"/>
        </w:rPr>
        <w:t xml:space="preserve">4.4.1.2.1  </w:t>
      </w:r>
      <w:r>
        <w:rPr>
          <w:rFonts w:ascii="宋体" w:hAnsi="宋体"/>
        </w:rPr>
        <w:t>在施工期间，承包人应按需要提供灭火器、沙桶和其它有效的消防设备，如临时消火栓、水龙带、阀门。特别是应在建筑物最高点安装足够的供水设备（如临时消防水箱、水泵等），并设有足够的水管，保持稳定的水压，能到达建筑物的任何部分。</w:t>
      </w:r>
    </w:p>
    <w:p>
      <w:pPr>
        <w:autoSpaceDE w:val="0"/>
        <w:autoSpaceDN w:val="0"/>
        <w:spacing w:line="276" w:lineRule="auto"/>
        <w:ind w:left="2" w:leftChars="1" w:right="25" w:rightChars="12" w:firstLine="420" w:firstLineChars="200"/>
        <w:rPr>
          <w:rFonts w:ascii="宋体" w:hAnsi="宋体"/>
        </w:rPr>
      </w:pPr>
      <w:r>
        <w:rPr>
          <w:rFonts w:hint="eastAsia" w:ascii="宋体" w:hAnsi="宋体"/>
        </w:rPr>
        <w:t xml:space="preserve">4.4.1.2.2  </w:t>
      </w:r>
      <w:r>
        <w:rPr>
          <w:rFonts w:ascii="宋体" w:hAnsi="宋体"/>
        </w:rPr>
        <w:t>所有的临时消防设施属于承包人所有，承包人应在工程实际完工时和永久性消防系统投入使用后从现场拆除</w:t>
      </w:r>
      <w:r>
        <w:rPr>
          <w:rFonts w:hint="eastAsia" w:ascii="宋体" w:hAnsi="宋体"/>
        </w:rPr>
        <w:t>迁走</w:t>
      </w:r>
      <w:r>
        <w:rPr>
          <w:rFonts w:ascii="宋体" w:hAnsi="宋体"/>
        </w:rPr>
        <w:t>。</w:t>
      </w:r>
    </w:p>
    <w:p>
      <w:pPr>
        <w:autoSpaceDE w:val="0"/>
        <w:autoSpaceDN w:val="0"/>
        <w:spacing w:line="276" w:lineRule="auto"/>
        <w:ind w:left="2" w:leftChars="1" w:right="25" w:rightChars="12" w:firstLine="420" w:firstLineChars="200"/>
        <w:rPr>
          <w:rFonts w:ascii="宋体" w:hAnsi="宋体"/>
        </w:rPr>
      </w:pPr>
      <w:r>
        <w:rPr>
          <w:rFonts w:hint="eastAsia" w:ascii="宋体" w:hAnsi="宋体"/>
        </w:rPr>
        <w:t xml:space="preserve">4.4.1.2.3  </w:t>
      </w:r>
      <w:r>
        <w:rPr>
          <w:rFonts w:ascii="宋体" w:hAnsi="宋体"/>
        </w:rPr>
        <w:t>承包人应制定并实施严格的消防管理制度，在现场储存或正在使用易燃或可燃材料时，有明火施工的工序时，必须实行严格的“用火证”管理，配备足够的消防设备和设施，成立由项目主要负责人担任组长的临时消防组或消防队，宣传消防基本知识和基本操作培训；消防管理制度应满足相关法律法规和政府消防管理机构的要求。</w:t>
      </w:r>
    </w:p>
    <w:p>
      <w:pPr>
        <w:autoSpaceDE w:val="0"/>
        <w:autoSpaceDN w:val="0"/>
        <w:spacing w:line="276" w:lineRule="auto"/>
        <w:ind w:left="2" w:leftChars="1" w:right="25" w:rightChars="12" w:firstLine="420" w:firstLineChars="200"/>
        <w:rPr>
          <w:rFonts w:ascii="宋体" w:hAnsi="宋体"/>
        </w:rPr>
      </w:pPr>
      <w:r>
        <w:rPr>
          <w:rFonts w:hint="eastAsia" w:ascii="宋体" w:hAnsi="宋体"/>
        </w:rPr>
        <w:t>4.4.1.2.4  承包人</w:t>
      </w:r>
      <w:r>
        <w:rPr>
          <w:rFonts w:ascii="宋体" w:hAnsi="宋体"/>
        </w:rPr>
        <w:t>应随时遵守当地政府法则，符合发包人规定的要求。</w:t>
      </w:r>
    </w:p>
    <w:p>
      <w:pPr>
        <w:autoSpaceDE w:val="0"/>
        <w:autoSpaceDN w:val="0"/>
        <w:spacing w:line="276" w:lineRule="auto"/>
        <w:ind w:left="2" w:leftChars="1" w:right="25" w:rightChars="12" w:firstLine="420" w:firstLineChars="200"/>
        <w:rPr>
          <w:rFonts w:ascii="宋体" w:hAnsi="宋体"/>
        </w:rPr>
      </w:pPr>
      <w:bookmarkStart w:id="69" w:name="_Toc167070317"/>
      <w:bookmarkStart w:id="70" w:name="_Toc166395998"/>
      <w:r>
        <w:rPr>
          <w:rFonts w:hint="eastAsia" w:ascii="宋体" w:hAnsi="宋体"/>
        </w:rPr>
        <w:t xml:space="preserve">4.4.2  </w:t>
      </w:r>
      <w:r>
        <w:rPr>
          <w:rFonts w:ascii="宋体" w:hAnsi="宋体"/>
        </w:rPr>
        <w:t>文明施工</w:t>
      </w:r>
      <w:bookmarkEnd w:id="69"/>
      <w:bookmarkEnd w:id="70"/>
    </w:p>
    <w:p>
      <w:pPr>
        <w:autoSpaceDE w:val="0"/>
        <w:autoSpaceDN w:val="0"/>
        <w:spacing w:line="276" w:lineRule="auto"/>
        <w:ind w:left="2" w:leftChars="1" w:right="25" w:rightChars="12" w:firstLine="420" w:firstLineChars="200"/>
        <w:rPr>
          <w:rFonts w:ascii="宋体" w:hAnsi="宋体"/>
        </w:rPr>
      </w:pPr>
      <w:bookmarkStart w:id="71" w:name="_Toc166395999"/>
      <w:bookmarkStart w:id="72" w:name="_Toc167070318"/>
      <w:r>
        <w:rPr>
          <w:rFonts w:hint="eastAsia" w:ascii="宋体" w:hAnsi="宋体"/>
        </w:rPr>
        <w:t>4.4.2</w:t>
      </w:r>
      <w:r>
        <w:rPr>
          <w:rFonts w:ascii="宋体" w:hAnsi="宋体"/>
        </w:rPr>
        <w:t>.</w:t>
      </w:r>
      <w:r>
        <w:rPr>
          <w:rFonts w:hint="eastAsia" w:ascii="宋体" w:hAnsi="宋体"/>
        </w:rPr>
        <w:t xml:space="preserve">1  </w:t>
      </w:r>
      <w:r>
        <w:rPr>
          <w:rFonts w:ascii="宋体" w:hAnsi="宋体"/>
        </w:rPr>
        <w:t>临时卫生设备</w:t>
      </w:r>
      <w:bookmarkEnd w:id="71"/>
      <w:bookmarkEnd w:id="72"/>
    </w:p>
    <w:p>
      <w:pPr>
        <w:autoSpaceDE w:val="0"/>
        <w:autoSpaceDN w:val="0"/>
        <w:spacing w:line="276" w:lineRule="auto"/>
        <w:ind w:left="2" w:leftChars="1" w:right="25" w:rightChars="12" w:firstLine="420" w:firstLineChars="200"/>
        <w:rPr>
          <w:rFonts w:ascii="宋体" w:hAnsi="宋体"/>
        </w:rPr>
      </w:pPr>
      <w:r>
        <w:rPr>
          <w:rFonts w:ascii="宋体" w:hAnsi="宋体"/>
        </w:rPr>
        <w:t>承包人必须在现场或其它所需地点提供临时卫生设备和排污水管，供所有工种（包括各指定分包人和独立</w:t>
      </w:r>
      <w:r>
        <w:rPr>
          <w:rFonts w:hint="eastAsia" w:ascii="宋体" w:hAnsi="宋体"/>
        </w:rPr>
        <w:t>承包人</w:t>
      </w:r>
      <w:r>
        <w:rPr>
          <w:rFonts w:ascii="宋体" w:hAnsi="宋体"/>
        </w:rPr>
        <w:t>）的工人无偿使用</w:t>
      </w:r>
      <w:r>
        <w:rPr>
          <w:rFonts w:hint="eastAsia" w:ascii="宋体" w:hAnsi="宋体"/>
        </w:rPr>
        <w:t>并满足容量要求</w:t>
      </w:r>
      <w:r>
        <w:rPr>
          <w:rFonts w:ascii="宋体" w:hAnsi="宋体"/>
        </w:rPr>
        <w:t>，卫生设备需保持实用和卫生。施工期间保持整个现场和建筑物及所有货棚、车间和办公室等临时建筑的环境清洁、以达到发包人和有关政府有关部门的要求。</w:t>
      </w:r>
    </w:p>
    <w:p>
      <w:pPr>
        <w:autoSpaceDE w:val="0"/>
        <w:autoSpaceDN w:val="0"/>
        <w:spacing w:line="276" w:lineRule="auto"/>
        <w:ind w:left="2" w:leftChars="1" w:right="25" w:rightChars="12" w:firstLine="420" w:firstLineChars="200"/>
        <w:rPr>
          <w:rFonts w:ascii="宋体" w:hAnsi="宋体"/>
        </w:rPr>
      </w:pPr>
      <w:r>
        <w:rPr>
          <w:rFonts w:hint="eastAsia" w:ascii="宋体" w:hAnsi="宋体"/>
        </w:rPr>
        <w:t>4.4.2</w:t>
      </w:r>
      <w:r>
        <w:rPr>
          <w:rFonts w:ascii="宋体" w:hAnsi="宋体"/>
        </w:rPr>
        <w:t>.</w:t>
      </w:r>
      <w:r>
        <w:rPr>
          <w:rFonts w:hint="eastAsia" w:ascii="宋体" w:hAnsi="宋体"/>
        </w:rPr>
        <w:t xml:space="preserve">1.1  </w:t>
      </w:r>
      <w:r>
        <w:rPr>
          <w:rFonts w:ascii="宋体" w:hAnsi="宋体"/>
        </w:rPr>
        <w:t>所有临时卫生设备须接驳至市政污水系统，承包人负责一切接驳工作，包括一切申请手续及费用，包括缴纳市政公司要求的排污费及环境部门要求的环卫费用。</w:t>
      </w:r>
    </w:p>
    <w:p>
      <w:pPr>
        <w:autoSpaceDE w:val="0"/>
        <w:autoSpaceDN w:val="0"/>
        <w:spacing w:line="276" w:lineRule="auto"/>
        <w:ind w:left="2" w:leftChars="1" w:right="25" w:rightChars="12" w:firstLine="420" w:firstLineChars="200"/>
        <w:rPr>
          <w:rFonts w:ascii="宋体" w:hAnsi="宋体"/>
        </w:rPr>
      </w:pPr>
      <w:r>
        <w:rPr>
          <w:rFonts w:hint="eastAsia" w:ascii="宋体" w:hAnsi="宋体"/>
        </w:rPr>
        <w:t>4.4.2</w:t>
      </w:r>
      <w:r>
        <w:rPr>
          <w:rFonts w:ascii="宋体" w:hAnsi="宋体"/>
        </w:rPr>
        <w:t>.</w:t>
      </w:r>
      <w:r>
        <w:rPr>
          <w:rFonts w:hint="eastAsia" w:ascii="宋体" w:hAnsi="宋体"/>
        </w:rPr>
        <w:t xml:space="preserve">1.2  </w:t>
      </w:r>
      <w:r>
        <w:rPr>
          <w:rFonts w:ascii="宋体" w:hAnsi="宋体"/>
        </w:rPr>
        <w:t>承包人须遵循有关部门的环保及文明施工要求，采取有效措施处理排</w:t>
      </w:r>
      <w:r>
        <w:rPr>
          <w:rFonts w:hint="eastAsia" w:ascii="宋体" w:hAnsi="宋体"/>
        </w:rPr>
        <w:t>污系统</w:t>
      </w:r>
      <w:r>
        <w:rPr>
          <w:rFonts w:ascii="宋体" w:hAnsi="宋体"/>
        </w:rPr>
        <w:t>达到当地排放标准。</w:t>
      </w:r>
    </w:p>
    <w:p>
      <w:pPr>
        <w:autoSpaceDE w:val="0"/>
        <w:autoSpaceDN w:val="0"/>
        <w:spacing w:line="276" w:lineRule="auto"/>
        <w:ind w:left="2" w:leftChars="1" w:right="25" w:rightChars="12" w:firstLine="420" w:firstLineChars="200"/>
        <w:rPr>
          <w:rFonts w:ascii="宋体" w:hAnsi="宋体"/>
        </w:rPr>
      </w:pPr>
      <w:r>
        <w:rPr>
          <w:rFonts w:hint="eastAsia" w:ascii="宋体" w:hAnsi="宋体"/>
        </w:rPr>
        <w:t>4.4.2</w:t>
      </w:r>
      <w:r>
        <w:rPr>
          <w:rFonts w:ascii="宋体" w:hAnsi="宋体"/>
        </w:rPr>
        <w:t>.</w:t>
      </w:r>
      <w:r>
        <w:rPr>
          <w:rFonts w:hint="eastAsia" w:ascii="宋体" w:hAnsi="宋体"/>
        </w:rPr>
        <w:t xml:space="preserve">1.3  </w:t>
      </w:r>
      <w:r>
        <w:rPr>
          <w:rFonts w:ascii="宋体" w:hAnsi="宋体"/>
        </w:rPr>
        <w:t>当卫生设备不是连接到污水系统时，承包人必须每天进行清倒和消毒，及在竣工后拆除和搬走。承包人须要求其员工及其分包人的员工使用临时卫生设备，并禁止工人在工程现场内其它地方大小便，违例者立即解雇，并对承包人予以罚款。因工人违反上述规定使任何工程遭到破坏或污染，均需由承包人自费完全拆</w:t>
      </w:r>
      <w:r>
        <w:rPr>
          <w:rFonts w:hint="eastAsia" w:ascii="宋体" w:hAnsi="宋体"/>
        </w:rPr>
        <w:t>除和</w:t>
      </w:r>
      <w:r>
        <w:rPr>
          <w:rFonts w:ascii="宋体" w:hAnsi="宋体"/>
        </w:rPr>
        <w:t>重</w:t>
      </w:r>
      <w:r>
        <w:rPr>
          <w:rFonts w:hint="eastAsia" w:ascii="宋体" w:hAnsi="宋体"/>
        </w:rPr>
        <w:t>新施工</w:t>
      </w:r>
      <w:r>
        <w:rPr>
          <w:rFonts w:ascii="宋体" w:hAnsi="宋体"/>
        </w:rPr>
        <w:t>，并令发包人和监理工程师满意。</w:t>
      </w:r>
    </w:p>
    <w:p>
      <w:pPr>
        <w:autoSpaceDE w:val="0"/>
        <w:autoSpaceDN w:val="0"/>
        <w:spacing w:line="276" w:lineRule="auto"/>
        <w:ind w:left="2" w:leftChars="1" w:right="25" w:rightChars="12" w:firstLine="420" w:firstLineChars="200"/>
        <w:rPr>
          <w:rFonts w:ascii="宋体" w:hAnsi="宋体"/>
        </w:rPr>
      </w:pPr>
      <w:r>
        <w:rPr>
          <w:rFonts w:hint="eastAsia" w:ascii="宋体" w:hAnsi="宋体"/>
        </w:rPr>
        <w:t>4.4.2</w:t>
      </w:r>
      <w:r>
        <w:rPr>
          <w:rFonts w:ascii="宋体" w:hAnsi="宋体"/>
        </w:rPr>
        <w:t>.</w:t>
      </w:r>
      <w:r>
        <w:rPr>
          <w:rFonts w:hint="eastAsia" w:ascii="宋体" w:hAnsi="宋体"/>
        </w:rPr>
        <w:t xml:space="preserve">1.4  </w:t>
      </w:r>
      <w:r>
        <w:rPr>
          <w:rFonts w:ascii="宋体" w:hAnsi="宋体"/>
        </w:rPr>
        <w:t>因承包人疏忽上述工作</w:t>
      </w:r>
      <w:r>
        <w:rPr>
          <w:rFonts w:hint="eastAsia" w:ascii="宋体" w:hAnsi="宋体"/>
        </w:rPr>
        <w:t>导致的索赔或罚款</w:t>
      </w:r>
      <w:r>
        <w:rPr>
          <w:rFonts w:ascii="宋体" w:hAnsi="宋体"/>
        </w:rPr>
        <w:t>，均由承包人负责，承包人应免除发包人承担一切有关上述的责任。此外发包人保留雇用其他单位代做上述工作而向承包人扣回有关费用的权利。</w:t>
      </w:r>
    </w:p>
    <w:p>
      <w:pPr>
        <w:autoSpaceDE w:val="0"/>
        <w:autoSpaceDN w:val="0"/>
        <w:spacing w:line="276" w:lineRule="auto"/>
        <w:ind w:left="2" w:leftChars="1" w:right="25" w:rightChars="12" w:firstLine="420" w:firstLineChars="200"/>
        <w:rPr>
          <w:rFonts w:ascii="宋体" w:hAnsi="宋体"/>
        </w:rPr>
      </w:pPr>
      <w:bookmarkStart w:id="73" w:name="_Toc166396000"/>
      <w:bookmarkStart w:id="74" w:name="_Toc167070319"/>
      <w:r>
        <w:rPr>
          <w:rFonts w:hint="eastAsia" w:ascii="宋体" w:hAnsi="宋体"/>
        </w:rPr>
        <w:t>4.4.2</w:t>
      </w:r>
      <w:r>
        <w:rPr>
          <w:rFonts w:ascii="宋体" w:hAnsi="宋体"/>
        </w:rPr>
        <w:t>.</w:t>
      </w:r>
      <w:r>
        <w:rPr>
          <w:rFonts w:hint="eastAsia" w:ascii="宋体" w:hAnsi="宋体"/>
        </w:rPr>
        <w:t xml:space="preserve">2  </w:t>
      </w:r>
      <w:r>
        <w:rPr>
          <w:rFonts w:ascii="宋体" w:hAnsi="宋体"/>
        </w:rPr>
        <w:t>现场内外公共设施的保护、维护和恢复</w:t>
      </w:r>
      <w:bookmarkEnd w:id="73"/>
      <w:bookmarkEnd w:id="74"/>
    </w:p>
    <w:p>
      <w:pPr>
        <w:autoSpaceDE w:val="0"/>
        <w:autoSpaceDN w:val="0"/>
        <w:spacing w:line="276" w:lineRule="auto"/>
        <w:ind w:right="25" w:rightChars="12" w:firstLine="420" w:firstLineChars="200"/>
        <w:rPr>
          <w:rFonts w:ascii="宋体" w:hAnsi="宋体"/>
        </w:rPr>
      </w:pPr>
      <w:r>
        <w:rPr>
          <w:rFonts w:hint="eastAsia" w:ascii="宋体" w:hAnsi="宋体"/>
        </w:rPr>
        <w:t>在整个施工期间，可能受到干扰或损坏的公共财产、道路、公共设施、邻近财产、现存地下管线等（如：邻近地皮、建筑物、树木、道路、栅栏、护墙和挡土墙、电缆沟、高架电缆、电信电缆和光缆、市政供水管、排水管及其它市政配套设施），承包人必须采取相应保护措施进行保护和维护，并用明显的标示做好标记。</w:t>
      </w:r>
    </w:p>
    <w:p>
      <w:pPr>
        <w:autoSpaceDE w:val="0"/>
        <w:autoSpaceDN w:val="0"/>
        <w:spacing w:line="276" w:lineRule="auto"/>
        <w:ind w:right="25" w:rightChars="12" w:firstLine="420" w:firstLineChars="200"/>
        <w:rPr>
          <w:rFonts w:ascii="宋体" w:hAnsi="宋体"/>
        </w:rPr>
      </w:pPr>
      <w:r>
        <w:rPr>
          <w:rFonts w:hint="eastAsia" w:ascii="宋体" w:hAnsi="宋体"/>
        </w:rPr>
        <w:t>4.4.2</w:t>
      </w:r>
      <w:r>
        <w:rPr>
          <w:rFonts w:ascii="宋体" w:hAnsi="宋体"/>
        </w:rPr>
        <w:t>.</w:t>
      </w:r>
      <w:r>
        <w:rPr>
          <w:rFonts w:hint="eastAsia" w:ascii="宋体" w:hAnsi="宋体"/>
        </w:rPr>
        <w:t>2.1  承包人应保证其员工、分包人和指定分包人不会损坏上述设施。如果由于承包人的疏忽造成任何损坏，承包人需负责修复并承担一切费用和罚款，同时应使发包人免受此等索赔、诉讼或费用开支。</w:t>
      </w:r>
    </w:p>
    <w:p>
      <w:pPr>
        <w:autoSpaceDE w:val="0"/>
        <w:autoSpaceDN w:val="0"/>
        <w:spacing w:line="276" w:lineRule="auto"/>
        <w:ind w:right="25" w:rightChars="12" w:firstLine="420" w:firstLineChars="200"/>
        <w:rPr>
          <w:rFonts w:ascii="宋体" w:hAnsi="宋体"/>
        </w:rPr>
      </w:pPr>
      <w:r>
        <w:rPr>
          <w:rFonts w:hint="eastAsia" w:ascii="宋体" w:hAnsi="宋体"/>
        </w:rPr>
        <w:t>4.4.2</w:t>
      </w:r>
      <w:r>
        <w:rPr>
          <w:rFonts w:ascii="宋体" w:hAnsi="宋体"/>
        </w:rPr>
        <w:t>.</w:t>
      </w:r>
      <w:r>
        <w:rPr>
          <w:rFonts w:hint="eastAsia" w:ascii="宋体" w:hAnsi="宋体"/>
        </w:rPr>
        <w:t>2.2  指定分包人或独立承包人进行可能影响或损坏上述公共财产、公共设施等的施工，承包人应要求指定分包人或独立承包人保护和维护上述设施。</w:t>
      </w:r>
    </w:p>
    <w:p>
      <w:pPr>
        <w:autoSpaceDE w:val="0"/>
        <w:autoSpaceDN w:val="0"/>
        <w:spacing w:line="276" w:lineRule="auto"/>
        <w:ind w:right="25" w:rightChars="12" w:firstLine="420" w:firstLineChars="200"/>
        <w:rPr>
          <w:rFonts w:ascii="宋体" w:hAnsi="宋体"/>
        </w:rPr>
      </w:pPr>
      <w:r>
        <w:rPr>
          <w:rFonts w:hint="eastAsia" w:ascii="宋体" w:hAnsi="宋体"/>
        </w:rPr>
        <w:t>4.4.2</w:t>
      </w:r>
      <w:r>
        <w:rPr>
          <w:rFonts w:ascii="宋体" w:hAnsi="宋体"/>
        </w:rPr>
        <w:t>.</w:t>
      </w:r>
      <w:r>
        <w:rPr>
          <w:rFonts w:hint="eastAsia" w:ascii="宋体" w:hAnsi="宋体"/>
        </w:rPr>
        <w:t>2.3  负责与有关部门协调工地红线内正在使用和已停止使用的管线设施（如有），确保红线内所有管线在开工前或在不影响工程进度下更改或拆除，并承担所有相关费用；</w:t>
      </w:r>
    </w:p>
    <w:p>
      <w:pPr>
        <w:autoSpaceDE w:val="0"/>
        <w:autoSpaceDN w:val="0"/>
        <w:spacing w:line="276" w:lineRule="auto"/>
        <w:ind w:right="25" w:rightChars="12" w:firstLine="420" w:firstLineChars="200"/>
        <w:rPr>
          <w:rFonts w:ascii="宋体" w:hAnsi="宋体"/>
        </w:rPr>
      </w:pPr>
      <w:r>
        <w:rPr>
          <w:rFonts w:hint="eastAsia" w:ascii="宋体" w:hAnsi="宋体"/>
        </w:rPr>
        <w:t>4.4.2</w:t>
      </w:r>
      <w:r>
        <w:rPr>
          <w:rFonts w:ascii="宋体" w:hAnsi="宋体"/>
        </w:rPr>
        <w:t>.</w:t>
      </w:r>
      <w:r>
        <w:rPr>
          <w:rFonts w:hint="eastAsia" w:ascii="宋体" w:hAnsi="宋体"/>
        </w:rPr>
        <w:t xml:space="preserve">2.4  </w:t>
      </w:r>
      <w:r>
        <w:rPr>
          <w:rFonts w:ascii="宋体" w:hAnsi="宋体"/>
        </w:rPr>
        <w:t>承包人因临时或永久工程施工需临时中断任何市政设施的总管或其它设施时，应首先从政府有关管理机构取得相关许可</w:t>
      </w:r>
      <w:r>
        <w:rPr>
          <w:rFonts w:hint="eastAsia" w:ascii="宋体" w:hAnsi="宋体"/>
        </w:rPr>
        <w:t>,并承担有关的费用</w:t>
      </w:r>
      <w:r>
        <w:rPr>
          <w:rFonts w:ascii="宋体" w:hAnsi="宋体"/>
        </w:rPr>
        <w:t>；承包人应周密计划和科学组织，保证此类中断的时间尽可能短。</w:t>
      </w:r>
    </w:p>
    <w:p>
      <w:pPr>
        <w:autoSpaceDE w:val="0"/>
        <w:autoSpaceDN w:val="0"/>
        <w:spacing w:line="276" w:lineRule="auto"/>
        <w:ind w:right="25" w:rightChars="12" w:firstLine="420" w:firstLineChars="200"/>
        <w:rPr>
          <w:rFonts w:ascii="宋体" w:hAnsi="宋体"/>
        </w:rPr>
      </w:pPr>
      <w:bookmarkStart w:id="75" w:name="_Toc167070320"/>
      <w:bookmarkStart w:id="76" w:name="_Toc166396001"/>
      <w:r>
        <w:rPr>
          <w:rFonts w:hint="eastAsia" w:ascii="宋体" w:hAnsi="宋体"/>
        </w:rPr>
        <w:t>4.4.2.3  减少对邻近居民的干扰</w:t>
      </w:r>
      <w:bookmarkEnd w:id="75"/>
      <w:bookmarkEnd w:id="76"/>
    </w:p>
    <w:p>
      <w:pPr>
        <w:autoSpaceDE w:val="0"/>
        <w:autoSpaceDN w:val="0"/>
        <w:spacing w:line="276" w:lineRule="auto"/>
        <w:ind w:right="25" w:rightChars="12" w:firstLine="420" w:firstLineChars="200"/>
        <w:rPr>
          <w:rFonts w:ascii="宋体" w:hAnsi="宋体"/>
        </w:rPr>
      </w:pPr>
      <w:r>
        <w:rPr>
          <w:rFonts w:hint="eastAsia" w:ascii="宋体" w:hAnsi="宋体"/>
        </w:rPr>
        <w:t>承包人保证施工过程中产生的不可避免的噪音及粉尘符合当地政府有关规定，且</w:t>
      </w:r>
      <w:r>
        <w:rPr>
          <w:rFonts w:ascii="宋体" w:hAnsi="宋体"/>
        </w:rPr>
        <w:t>保证发包人不会承担任何与施工扰民或民扰有关的费用</w:t>
      </w:r>
      <w:r>
        <w:rPr>
          <w:rFonts w:hint="eastAsia" w:ascii="宋体" w:hAnsi="宋体"/>
        </w:rPr>
        <w:t>。发包人</w:t>
      </w:r>
      <w:r>
        <w:rPr>
          <w:rFonts w:ascii="宋体" w:hAnsi="宋体"/>
        </w:rPr>
        <w:t>和监理工程师有</w:t>
      </w:r>
      <w:r>
        <w:rPr>
          <w:rFonts w:hint="eastAsia" w:ascii="宋体" w:hAnsi="宋体"/>
        </w:rPr>
        <w:t>权</w:t>
      </w:r>
      <w:r>
        <w:rPr>
          <w:rFonts w:ascii="宋体" w:hAnsi="宋体"/>
        </w:rPr>
        <w:t>限制或禁止承包人进行任何可能</w:t>
      </w:r>
      <w:r>
        <w:rPr>
          <w:rFonts w:hint="eastAsia" w:ascii="宋体" w:hAnsi="宋体"/>
        </w:rPr>
        <w:t>或已经</w:t>
      </w:r>
      <w:r>
        <w:rPr>
          <w:rFonts w:ascii="宋体" w:hAnsi="宋体"/>
        </w:rPr>
        <w:t>导致扰民的工作</w:t>
      </w:r>
      <w:r>
        <w:rPr>
          <w:rFonts w:hint="eastAsia" w:ascii="宋体" w:hAnsi="宋体"/>
        </w:rPr>
        <w:t>，</w:t>
      </w:r>
      <w:r>
        <w:rPr>
          <w:rFonts w:ascii="宋体" w:hAnsi="宋体"/>
        </w:rPr>
        <w:t>且</w:t>
      </w:r>
      <w:r>
        <w:rPr>
          <w:rFonts w:hint="eastAsia" w:ascii="宋体" w:hAnsi="宋体"/>
        </w:rPr>
        <w:t>不接受</w:t>
      </w:r>
      <w:r>
        <w:rPr>
          <w:rFonts w:ascii="宋体" w:hAnsi="宋体"/>
        </w:rPr>
        <w:t>任何与</w:t>
      </w:r>
      <w:r>
        <w:rPr>
          <w:rFonts w:hint="eastAsia" w:ascii="宋体" w:hAnsi="宋体"/>
        </w:rPr>
        <w:t>此相</w:t>
      </w:r>
      <w:r>
        <w:rPr>
          <w:rFonts w:ascii="宋体" w:hAnsi="宋体"/>
        </w:rPr>
        <w:t>关的费用和延长工期的索赔。</w:t>
      </w:r>
    </w:p>
    <w:p>
      <w:pPr>
        <w:autoSpaceDE w:val="0"/>
        <w:autoSpaceDN w:val="0"/>
        <w:spacing w:line="276" w:lineRule="auto"/>
        <w:ind w:right="25" w:rightChars="12" w:firstLine="420" w:firstLineChars="200"/>
        <w:rPr>
          <w:rFonts w:ascii="宋体" w:hAnsi="宋体"/>
        </w:rPr>
      </w:pPr>
      <w:r>
        <w:rPr>
          <w:rFonts w:hint="eastAsia" w:ascii="宋体" w:hAnsi="宋体"/>
        </w:rPr>
        <w:t>4.4.2.3.1  在符合政府规定的前提下，</w:t>
      </w:r>
      <w:r>
        <w:rPr>
          <w:rFonts w:ascii="宋体" w:hAnsi="宋体"/>
        </w:rPr>
        <w:t>承包人有责任和义务采取措施最大</w:t>
      </w:r>
      <w:r>
        <w:rPr>
          <w:rFonts w:hint="eastAsia" w:ascii="宋体" w:hAnsi="宋体"/>
        </w:rPr>
        <w:t>限</w:t>
      </w:r>
      <w:r>
        <w:rPr>
          <w:rFonts w:ascii="宋体" w:hAnsi="宋体"/>
        </w:rPr>
        <w:t>度地降低施工过程中产生的不可避免的施工扰民。</w:t>
      </w:r>
    </w:p>
    <w:p>
      <w:pPr>
        <w:autoSpaceDE w:val="0"/>
        <w:autoSpaceDN w:val="0"/>
        <w:spacing w:line="276" w:lineRule="auto"/>
        <w:ind w:right="25" w:rightChars="12" w:firstLine="420" w:firstLineChars="200"/>
        <w:rPr>
          <w:rFonts w:ascii="宋体" w:hAnsi="宋体"/>
        </w:rPr>
      </w:pPr>
      <w:r>
        <w:rPr>
          <w:rFonts w:hint="eastAsia" w:ascii="宋体" w:hAnsi="宋体"/>
        </w:rPr>
        <w:t>4.4.2.3.2  承包人须注意施工现场的位置，以及和现建筑物之间的距离，并适当地调整施工进度计划，尽量减少对邻近建筑物或道路的损害、噪音或任何其它的干扰和不便。</w:t>
      </w:r>
    </w:p>
    <w:p>
      <w:pPr>
        <w:autoSpaceDE w:val="0"/>
        <w:autoSpaceDN w:val="0"/>
        <w:spacing w:line="276" w:lineRule="auto"/>
        <w:ind w:right="25" w:rightChars="12" w:firstLine="420" w:firstLineChars="200"/>
        <w:rPr>
          <w:rFonts w:ascii="宋体" w:hAnsi="宋体"/>
        </w:rPr>
      </w:pPr>
      <w:r>
        <w:rPr>
          <w:rFonts w:hint="eastAsia" w:ascii="宋体" w:hAnsi="宋体"/>
        </w:rPr>
        <w:t>4.4.2.3.3  现场内可能引起灰尘的地方，须定时洒水；运送至现场或由现场运走的物料或垃圾应盖好。</w:t>
      </w:r>
    </w:p>
    <w:p>
      <w:pPr>
        <w:autoSpaceDE w:val="0"/>
        <w:autoSpaceDN w:val="0"/>
        <w:spacing w:line="276" w:lineRule="auto"/>
        <w:ind w:right="25" w:rightChars="12" w:firstLine="420" w:firstLineChars="200"/>
        <w:rPr>
          <w:rFonts w:ascii="宋体" w:hAnsi="宋体"/>
        </w:rPr>
      </w:pPr>
      <w:r>
        <w:rPr>
          <w:rFonts w:hint="eastAsia" w:ascii="宋体" w:hAnsi="宋体"/>
        </w:rPr>
        <w:t>4.4.2.3.4  承包人使用的一切机械与设备，在操作及维修时以产生的噪音最小、产生的烟尘及异味最少为原则。必要时使用消声器、减声器、吸音装置或屏幕以达到“降低噪音”的目的，并令发包人满意及符合有关的政府规定。</w:t>
      </w:r>
    </w:p>
    <w:p>
      <w:pPr>
        <w:autoSpaceDE w:val="0"/>
        <w:autoSpaceDN w:val="0"/>
        <w:spacing w:line="276" w:lineRule="auto"/>
        <w:ind w:right="25" w:rightChars="12" w:firstLine="420" w:firstLineChars="200"/>
        <w:rPr>
          <w:rFonts w:ascii="宋体" w:hAnsi="宋体"/>
        </w:rPr>
      </w:pPr>
      <w:r>
        <w:rPr>
          <w:rFonts w:hint="eastAsia" w:ascii="宋体" w:hAnsi="宋体"/>
        </w:rPr>
        <w:t>4.4.2.3.5  指定分包人施工过程中，对可能出现或正在进行的扰民施工，承包人应及时要求指定分包人必须遵守当地政府有关规定；否则如果承包人未按此履行职责，而出现了因指定分包工程施工造成的扰民索赔，由承包人承担。</w:t>
      </w:r>
    </w:p>
    <w:p>
      <w:pPr>
        <w:autoSpaceDE w:val="0"/>
        <w:autoSpaceDN w:val="0"/>
        <w:spacing w:line="276" w:lineRule="auto"/>
        <w:ind w:right="25" w:rightChars="12" w:firstLine="420" w:firstLineChars="200"/>
        <w:rPr>
          <w:rFonts w:ascii="宋体" w:hAnsi="宋体"/>
        </w:rPr>
      </w:pPr>
      <w:bookmarkStart w:id="77" w:name="_Toc167070321"/>
      <w:bookmarkStart w:id="78" w:name="_Toc166396002"/>
      <w:r>
        <w:rPr>
          <w:rFonts w:hint="eastAsia" w:ascii="宋体" w:hAnsi="宋体"/>
        </w:rPr>
        <w:t>4.4.2.4  工人形象</w:t>
      </w:r>
      <w:bookmarkEnd w:id="77"/>
      <w:bookmarkEnd w:id="78"/>
    </w:p>
    <w:p>
      <w:pPr>
        <w:autoSpaceDE w:val="0"/>
        <w:autoSpaceDN w:val="0"/>
        <w:spacing w:line="276" w:lineRule="auto"/>
        <w:ind w:right="25" w:rightChars="12" w:firstLine="420" w:firstLineChars="200"/>
        <w:rPr>
          <w:rFonts w:ascii="宋体" w:hAnsi="宋体"/>
        </w:rPr>
      </w:pPr>
      <w:r>
        <w:rPr>
          <w:rFonts w:hint="eastAsia" w:ascii="宋体" w:hAnsi="宋体"/>
        </w:rPr>
        <w:t>现场除指定分包人、独立专业承包人的施工队伍外，总承包及自行分包的工人需统一着装、安全帽、工牌上岗。</w:t>
      </w:r>
    </w:p>
    <w:p>
      <w:pPr>
        <w:autoSpaceDE w:val="0"/>
        <w:autoSpaceDN w:val="0"/>
        <w:spacing w:line="276" w:lineRule="auto"/>
        <w:ind w:right="25" w:rightChars="12" w:firstLine="420" w:firstLineChars="200"/>
        <w:rPr>
          <w:rFonts w:ascii="宋体" w:hAnsi="宋体"/>
        </w:rPr>
      </w:pPr>
      <w:bookmarkStart w:id="79" w:name="_Toc166396003"/>
      <w:bookmarkStart w:id="80" w:name="_Toc167070322"/>
      <w:r>
        <w:rPr>
          <w:rFonts w:hint="eastAsia" w:ascii="宋体" w:hAnsi="宋体"/>
        </w:rPr>
        <w:t>4.4.2.5  出入现场及限制</w:t>
      </w:r>
      <w:bookmarkEnd w:id="79"/>
      <w:bookmarkEnd w:id="80"/>
    </w:p>
    <w:p>
      <w:pPr>
        <w:autoSpaceDE w:val="0"/>
        <w:autoSpaceDN w:val="0"/>
        <w:spacing w:line="276" w:lineRule="auto"/>
        <w:ind w:right="25" w:rightChars="12" w:firstLine="420" w:firstLineChars="200"/>
        <w:rPr>
          <w:rFonts w:ascii="宋体" w:hAnsi="宋体"/>
        </w:rPr>
      </w:pPr>
      <w:r>
        <w:rPr>
          <w:rFonts w:hint="eastAsia" w:ascii="宋体" w:hAnsi="宋体"/>
        </w:rPr>
        <w:t>承包人应不准任何未经发包人和监理工程师同意的来访者进入现场，工地只设一个出入口供来访者出入。</w:t>
      </w:r>
    </w:p>
    <w:p>
      <w:pPr>
        <w:autoSpaceDE w:val="0"/>
        <w:autoSpaceDN w:val="0"/>
        <w:spacing w:line="276" w:lineRule="auto"/>
        <w:ind w:right="25" w:rightChars="12" w:firstLine="420" w:firstLineChars="200"/>
        <w:rPr>
          <w:rFonts w:ascii="宋体" w:hAnsi="宋体"/>
        </w:rPr>
      </w:pPr>
      <w:bookmarkStart w:id="81" w:name="_Toc166396004"/>
      <w:bookmarkStart w:id="82" w:name="_Toc167070323"/>
      <w:r>
        <w:rPr>
          <w:rFonts w:hint="eastAsia" w:ascii="宋体" w:hAnsi="宋体"/>
        </w:rPr>
        <w:t>4.4.2.6  工地保安</w:t>
      </w:r>
      <w:bookmarkEnd w:id="81"/>
      <w:bookmarkEnd w:id="82"/>
    </w:p>
    <w:p>
      <w:pPr>
        <w:autoSpaceDE w:val="0"/>
        <w:autoSpaceDN w:val="0"/>
        <w:spacing w:line="276" w:lineRule="auto"/>
        <w:ind w:right="25" w:rightChars="12" w:firstLine="420" w:firstLineChars="200"/>
        <w:rPr>
          <w:rFonts w:ascii="宋体" w:hAnsi="宋体"/>
        </w:rPr>
      </w:pPr>
      <w:r>
        <w:rPr>
          <w:rFonts w:hint="eastAsia" w:ascii="宋体" w:hAnsi="宋体"/>
        </w:rPr>
        <w:t>4.4.2.6.1  施工期间，承包人应在工程现场保留足够的工地保安负责看管工程、现场所有材料设备、施工机械等（包括指定分包人和独立工程承包人的），防止遭破坏或盗窃，直至竣工后发包人接收整个工程止。否则由于承包人保安看管不力造成的损失，由承包人承担。</w:t>
      </w:r>
    </w:p>
    <w:p>
      <w:pPr>
        <w:autoSpaceDE w:val="0"/>
        <w:autoSpaceDN w:val="0"/>
        <w:spacing w:line="276" w:lineRule="auto"/>
        <w:ind w:right="25" w:rightChars="12" w:firstLine="420" w:firstLineChars="200"/>
        <w:rPr>
          <w:rFonts w:ascii="宋体" w:hAnsi="宋体"/>
        </w:rPr>
      </w:pPr>
      <w:r>
        <w:rPr>
          <w:rFonts w:hint="eastAsia" w:ascii="宋体" w:hAnsi="宋体"/>
        </w:rPr>
        <w:t xml:space="preserve">4.4.2.6.2  </w:t>
      </w:r>
      <w:r>
        <w:rPr>
          <w:rFonts w:ascii="宋体" w:hAnsi="宋体"/>
        </w:rPr>
        <w:t>禁止任何现场内的打架斗殴事件</w:t>
      </w:r>
      <w:r>
        <w:rPr>
          <w:rFonts w:hint="eastAsia" w:ascii="宋体" w:hAnsi="宋体"/>
        </w:rPr>
        <w:t>，包括承包人、指定分包人、独立承包人所雇用工人之间的斗殴</w:t>
      </w:r>
      <w:r>
        <w:rPr>
          <w:rFonts w:ascii="宋体" w:hAnsi="宋体"/>
        </w:rPr>
        <w:t>。</w:t>
      </w:r>
    </w:p>
    <w:p>
      <w:pPr>
        <w:autoSpaceDE w:val="0"/>
        <w:autoSpaceDN w:val="0"/>
        <w:spacing w:line="276" w:lineRule="auto"/>
        <w:ind w:right="25" w:rightChars="12" w:firstLine="420" w:firstLineChars="200"/>
        <w:rPr>
          <w:rFonts w:ascii="宋体" w:hAnsi="宋体"/>
        </w:rPr>
      </w:pPr>
      <w:r>
        <w:rPr>
          <w:rFonts w:hint="eastAsia" w:ascii="宋体" w:hAnsi="宋体"/>
        </w:rPr>
        <w:t>4.4.2.6.3  所有出入口应设有闸门，并在非工作时间关上及上锁。同时，对进出工地的车辆及物料等应有具体的管理办法，必须进行登记。每出入口均应在开放时任何时间内派有至少一名保安人员看守。</w:t>
      </w:r>
    </w:p>
    <w:p>
      <w:pPr>
        <w:autoSpaceDE w:val="0"/>
        <w:autoSpaceDN w:val="0"/>
        <w:spacing w:line="276" w:lineRule="auto"/>
        <w:ind w:right="25" w:rightChars="12" w:firstLine="420" w:firstLineChars="200"/>
        <w:rPr>
          <w:rFonts w:ascii="宋体" w:hAnsi="宋体"/>
        </w:rPr>
      </w:pPr>
      <w:r>
        <w:rPr>
          <w:rFonts w:hint="eastAsia" w:ascii="宋体" w:hAnsi="宋体"/>
        </w:rPr>
        <w:t xml:space="preserve">4.4.2.6.4  </w:t>
      </w:r>
      <w:r>
        <w:rPr>
          <w:rFonts w:ascii="宋体" w:hAnsi="宋体"/>
        </w:rPr>
        <w:t>承包人的保安人员应是训练有素的专业保安人员，允许承包人直接雇</w:t>
      </w:r>
      <w:r>
        <w:rPr>
          <w:rFonts w:hint="eastAsia" w:ascii="宋体" w:hAnsi="宋体"/>
        </w:rPr>
        <w:t>用</w:t>
      </w:r>
      <w:r>
        <w:rPr>
          <w:rFonts w:ascii="宋体" w:hAnsi="宋体"/>
        </w:rPr>
        <w:t>专业保安公司负责现场保安和保卫；保安保卫制度除规范现场出入大门控制外，还应</w:t>
      </w:r>
      <w:r>
        <w:rPr>
          <w:rFonts w:hint="eastAsia" w:ascii="宋体" w:hAnsi="宋体"/>
        </w:rPr>
        <w:t>保证</w:t>
      </w:r>
      <w:r>
        <w:rPr>
          <w:rFonts w:ascii="宋体" w:hAnsi="宋体"/>
        </w:rPr>
        <w:t>现场周边和全现场的保安巡逻。</w:t>
      </w:r>
    </w:p>
    <w:p>
      <w:pPr>
        <w:autoSpaceDE w:val="0"/>
        <w:autoSpaceDN w:val="0"/>
        <w:spacing w:line="276" w:lineRule="auto"/>
        <w:ind w:right="25" w:rightChars="12" w:firstLine="420" w:firstLineChars="200"/>
        <w:rPr>
          <w:rFonts w:ascii="宋体" w:hAnsi="宋体"/>
        </w:rPr>
      </w:pPr>
      <w:bookmarkStart w:id="83" w:name="_Toc166396005"/>
      <w:bookmarkStart w:id="84" w:name="_Toc167070324"/>
      <w:r>
        <w:rPr>
          <w:rFonts w:hint="eastAsia" w:ascii="宋体" w:hAnsi="宋体"/>
        </w:rPr>
        <w:t>4.4.2.7  在施工过程中清除垃圾</w:t>
      </w:r>
      <w:bookmarkEnd w:id="83"/>
      <w:bookmarkEnd w:id="84"/>
    </w:p>
    <w:p>
      <w:pPr>
        <w:autoSpaceDE w:val="0"/>
        <w:autoSpaceDN w:val="0"/>
        <w:spacing w:line="276" w:lineRule="auto"/>
        <w:ind w:left="426" w:leftChars="203" w:right="25" w:rightChars="12"/>
        <w:rPr>
          <w:rFonts w:ascii="宋体" w:hAnsi="宋体"/>
        </w:rPr>
      </w:pPr>
      <w:r>
        <w:rPr>
          <w:rFonts w:hint="eastAsia" w:ascii="宋体" w:hAnsi="宋体"/>
        </w:rPr>
        <w:t>施工过程中，承包人须确保没有随意堆积或乱丢乱弃的垃圾。</w:t>
      </w:r>
    </w:p>
    <w:p>
      <w:pPr>
        <w:autoSpaceDE w:val="0"/>
        <w:autoSpaceDN w:val="0"/>
        <w:spacing w:line="276" w:lineRule="auto"/>
        <w:ind w:right="25" w:rightChars="12" w:firstLine="420" w:firstLineChars="200"/>
        <w:rPr>
          <w:rFonts w:ascii="宋体" w:hAnsi="宋体"/>
        </w:rPr>
      </w:pPr>
      <w:r>
        <w:rPr>
          <w:rFonts w:hint="eastAsia" w:ascii="宋体" w:hAnsi="宋体"/>
        </w:rPr>
        <w:t>4.4.2.7.1  承包人于每一幢建筑物由监理工程师指定的地点设置垃圾收集点，收集承包人及所有分包人（包括指定分包人和独立工程承包人）施工过程中的垃圾，包括废弃的支撑件、物料等，承包人负责及时清理。没有发包人或监理工程师的指示，现场不允许堆放多余物料或垃圾，同时承包人须遵守任何由发包人或监理工程师发出的有关清理垃圾及清理现场的指示。假如承包人不执行指示，发包人可另雇他人进行清理工作，由承包人承担与此有关的一切费用。</w:t>
      </w:r>
    </w:p>
    <w:p>
      <w:pPr>
        <w:autoSpaceDE w:val="0"/>
        <w:autoSpaceDN w:val="0"/>
        <w:spacing w:line="276" w:lineRule="auto"/>
        <w:ind w:right="25" w:rightChars="12" w:firstLine="420" w:firstLineChars="200"/>
        <w:rPr>
          <w:rFonts w:ascii="宋体" w:hAnsi="宋体"/>
        </w:rPr>
      </w:pPr>
      <w:r>
        <w:rPr>
          <w:rFonts w:hint="eastAsia" w:ascii="宋体" w:hAnsi="宋体"/>
        </w:rPr>
        <w:t>4.4.2.7.2  已完工楼层的卫生清理由承包人负责，各工序施工完毕后应及时运走模板、支撑和施工废弃物，并对预留孔洞进行有效加盖或做防护。如为框架结构则各楼层统一用刷黑黄油漆的钢管按照相关规定做临边防护并设踢脚板。</w:t>
      </w:r>
    </w:p>
    <w:p>
      <w:pPr>
        <w:autoSpaceDE w:val="0"/>
        <w:autoSpaceDN w:val="0"/>
        <w:spacing w:line="276" w:lineRule="auto"/>
        <w:ind w:right="25" w:rightChars="12" w:firstLine="420" w:firstLineChars="200"/>
        <w:rPr>
          <w:rFonts w:ascii="宋体" w:hAnsi="宋体"/>
        </w:rPr>
      </w:pPr>
      <w:r>
        <w:rPr>
          <w:rFonts w:hint="eastAsia" w:ascii="宋体" w:hAnsi="宋体"/>
        </w:rPr>
        <w:t xml:space="preserve">4.4.2.7.3  发包人售楼期间，承包人负责随时清理现场进行永久工程或临时工程施工所产生的任何垃圾，包括临时工程的拆除及运走，此等费用由承包人承担，并考虑在投标报价中。 </w:t>
      </w:r>
    </w:p>
    <w:p>
      <w:pPr>
        <w:autoSpaceDE w:val="0"/>
        <w:autoSpaceDN w:val="0"/>
        <w:spacing w:line="276" w:lineRule="auto"/>
        <w:ind w:right="25" w:rightChars="12" w:firstLine="420" w:firstLineChars="200"/>
        <w:rPr>
          <w:rFonts w:ascii="宋体" w:hAnsi="宋体"/>
        </w:rPr>
      </w:pPr>
      <w:bookmarkStart w:id="85" w:name="_Toc167070325"/>
      <w:bookmarkStart w:id="86" w:name="_Toc166396006"/>
      <w:r>
        <w:rPr>
          <w:rFonts w:hint="eastAsia" w:ascii="宋体" w:hAnsi="宋体"/>
        </w:rPr>
        <w:t>4.4.2.8  竣工后的现场清理</w:t>
      </w:r>
      <w:bookmarkEnd w:id="85"/>
      <w:bookmarkEnd w:id="86"/>
    </w:p>
    <w:p>
      <w:pPr>
        <w:autoSpaceDE w:val="0"/>
        <w:autoSpaceDN w:val="0"/>
        <w:spacing w:line="276" w:lineRule="auto"/>
        <w:ind w:right="25" w:rightChars="12" w:firstLine="420" w:firstLineChars="200"/>
        <w:rPr>
          <w:rFonts w:ascii="宋体" w:hAnsi="宋体"/>
        </w:rPr>
      </w:pPr>
      <w:r>
        <w:rPr>
          <w:rFonts w:hint="eastAsia" w:ascii="宋体" w:hAnsi="宋体"/>
        </w:rPr>
        <w:t>在工程竣工之后和移交完成之前，承包人应从施工现场清理并运出其装备、剩余材料设备、垃圾和各种临时工程，保持整个现场及工程整洁，达到工程使用状态。但在保修责任终止之前，承包人有权在现场保留保修期内履行保修义务所需的材料设备、装备及临时工程。如承包人未在发包人允许的合理时间内把所有的承包人装备、剩余材料设备、垃圾及各种临时工程运走，则发包人可以：</w:t>
      </w:r>
    </w:p>
    <w:p>
      <w:pPr>
        <w:autoSpaceDE w:val="0"/>
        <w:autoSpaceDN w:val="0"/>
        <w:spacing w:line="276" w:lineRule="auto"/>
        <w:ind w:right="25" w:rightChars="12" w:firstLine="420" w:firstLineChars="200"/>
        <w:rPr>
          <w:rFonts w:ascii="宋体" w:hAnsi="宋体"/>
        </w:rPr>
      </w:pPr>
      <w:r>
        <w:rPr>
          <w:rFonts w:hint="eastAsia" w:ascii="宋体" w:hAnsi="宋体"/>
        </w:rPr>
        <w:t>4.4.2.8.1  委托他人将承包人的装备、剩余材料及承包人的其他财产觅地存放；</w:t>
      </w:r>
    </w:p>
    <w:p>
      <w:pPr>
        <w:autoSpaceDE w:val="0"/>
        <w:autoSpaceDN w:val="0"/>
        <w:spacing w:line="276" w:lineRule="auto"/>
        <w:ind w:right="25" w:rightChars="12" w:firstLine="420" w:firstLineChars="200"/>
        <w:rPr>
          <w:rFonts w:ascii="宋体" w:hAnsi="宋体"/>
        </w:rPr>
      </w:pPr>
      <w:r>
        <w:rPr>
          <w:rFonts w:hint="eastAsia" w:ascii="宋体" w:hAnsi="宋体"/>
        </w:rPr>
        <w:t>4.4.2.8.2  委托他人清除并运走垃圾、废料。</w:t>
      </w:r>
    </w:p>
    <w:p>
      <w:pPr>
        <w:autoSpaceDE w:val="0"/>
        <w:autoSpaceDN w:val="0"/>
        <w:spacing w:line="276" w:lineRule="auto"/>
        <w:ind w:right="25" w:rightChars="12" w:firstLine="420" w:firstLineChars="200"/>
        <w:rPr>
          <w:rFonts w:ascii="宋体" w:hAnsi="宋体"/>
        </w:rPr>
      </w:pPr>
      <w:r>
        <w:rPr>
          <w:rFonts w:hint="eastAsia" w:ascii="宋体" w:hAnsi="宋体"/>
        </w:rPr>
        <w:t>因上述工作而发生的费用由承包人承担，发包人有权从应付给承包人的任何款项内直接扣除。</w:t>
      </w:r>
    </w:p>
    <w:p>
      <w:pPr>
        <w:pStyle w:val="3"/>
        <w:spacing w:before="0" w:after="0" w:line="276" w:lineRule="auto"/>
        <w:ind w:firstLine="413" w:firstLineChars="196"/>
        <w:rPr>
          <w:rFonts w:ascii="宋体" w:hAnsi="宋体"/>
          <w:sz w:val="21"/>
          <w:szCs w:val="21"/>
        </w:rPr>
      </w:pPr>
      <w:bookmarkStart w:id="87" w:name="_Toc404603788"/>
      <w:bookmarkStart w:id="88" w:name="_Toc405535529"/>
      <w:bookmarkStart w:id="89" w:name="_Toc404565085"/>
      <w:bookmarkStart w:id="90" w:name="_Toc167070326"/>
      <w:bookmarkStart w:id="91" w:name="_Toc144459625"/>
      <w:bookmarkStart w:id="92" w:name="_Toc166396007"/>
      <w:r>
        <w:rPr>
          <w:rFonts w:hint="eastAsia" w:ascii="宋体" w:hAnsi="宋体"/>
          <w:sz w:val="21"/>
          <w:szCs w:val="21"/>
        </w:rPr>
        <w:t>4.5  施工</w:t>
      </w:r>
      <w:r>
        <w:rPr>
          <w:rFonts w:ascii="宋体" w:hAnsi="宋体"/>
          <w:sz w:val="21"/>
          <w:szCs w:val="21"/>
        </w:rPr>
        <w:t>排水</w:t>
      </w:r>
      <w:r>
        <w:rPr>
          <w:rFonts w:hint="eastAsia" w:ascii="宋体" w:hAnsi="宋体"/>
          <w:sz w:val="21"/>
          <w:szCs w:val="21"/>
        </w:rPr>
        <w:t>、降水</w:t>
      </w:r>
      <w:bookmarkEnd w:id="87"/>
      <w:bookmarkEnd w:id="88"/>
      <w:bookmarkEnd w:id="89"/>
      <w:bookmarkEnd w:id="90"/>
      <w:bookmarkEnd w:id="91"/>
      <w:bookmarkEnd w:id="92"/>
    </w:p>
    <w:p>
      <w:pPr>
        <w:autoSpaceDE w:val="0"/>
        <w:autoSpaceDN w:val="0"/>
        <w:spacing w:line="276" w:lineRule="auto"/>
        <w:ind w:right="25" w:rightChars="12" w:firstLine="420" w:firstLineChars="200"/>
        <w:rPr>
          <w:rFonts w:ascii="宋体" w:hAnsi="宋体"/>
        </w:rPr>
      </w:pPr>
      <w:r>
        <w:rPr>
          <w:rFonts w:hint="eastAsia" w:ascii="宋体" w:hAnsi="宋体"/>
        </w:rPr>
        <w:t>4.5.1  施工现场必须有组织排水，场地内的水经明沟收集，流入沉淀池沉淀后排入西侧市政管井。相关的手续由施工单位办理，发包人方予以配合，相关的费用由承包人承担。现场不得有积水区域，保持现场文明整洁。</w:t>
      </w:r>
    </w:p>
    <w:p>
      <w:pPr>
        <w:autoSpaceDE w:val="0"/>
        <w:autoSpaceDN w:val="0"/>
        <w:spacing w:line="276" w:lineRule="auto"/>
        <w:ind w:right="25" w:rightChars="12" w:firstLine="420" w:firstLineChars="200"/>
        <w:rPr>
          <w:rFonts w:ascii="宋体" w:hAnsi="宋体"/>
        </w:rPr>
      </w:pPr>
      <w:r>
        <w:rPr>
          <w:rFonts w:hint="eastAsia" w:ascii="宋体" w:hAnsi="宋体"/>
        </w:rPr>
        <w:t xml:space="preserve">4.5.2  </w:t>
      </w:r>
      <w:r>
        <w:rPr>
          <w:rFonts w:ascii="宋体" w:hAnsi="宋体"/>
        </w:rPr>
        <w:t>承包人须</w:t>
      </w:r>
      <w:r>
        <w:rPr>
          <w:rFonts w:hint="eastAsia" w:ascii="宋体" w:hAnsi="宋体"/>
        </w:rPr>
        <w:t>按发包人要求</w:t>
      </w:r>
      <w:r>
        <w:rPr>
          <w:rFonts w:ascii="宋体" w:hAnsi="宋体"/>
        </w:rPr>
        <w:t>提</w:t>
      </w:r>
      <w:r>
        <w:rPr>
          <w:rFonts w:hint="eastAsia" w:ascii="宋体" w:hAnsi="宋体"/>
        </w:rPr>
        <w:t>交</w:t>
      </w:r>
      <w:r>
        <w:rPr>
          <w:rFonts w:ascii="宋体" w:hAnsi="宋体"/>
        </w:rPr>
        <w:t>临时排水方案，经发包人、监理工程师及政府有关部门的批准后方可实行。承包人应充分考虑和预留</w:t>
      </w:r>
      <w:r>
        <w:rPr>
          <w:rFonts w:hint="eastAsia" w:ascii="宋体" w:hAnsi="宋体"/>
        </w:rPr>
        <w:t>所有</w:t>
      </w:r>
      <w:r>
        <w:rPr>
          <w:rFonts w:ascii="宋体" w:hAnsi="宋体"/>
        </w:rPr>
        <w:t>审批所需时间，承包人不得</w:t>
      </w:r>
      <w:r>
        <w:rPr>
          <w:rFonts w:hint="eastAsia" w:ascii="宋体" w:hAnsi="宋体"/>
        </w:rPr>
        <w:t>借</w:t>
      </w:r>
      <w:r>
        <w:rPr>
          <w:rFonts w:ascii="宋体" w:hAnsi="宋体"/>
        </w:rPr>
        <w:t>此向发包人提出任何索赔。</w:t>
      </w:r>
    </w:p>
    <w:p>
      <w:pPr>
        <w:autoSpaceDE w:val="0"/>
        <w:autoSpaceDN w:val="0"/>
        <w:spacing w:line="276" w:lineRule="auto"/>
        <w:ind w:right="25" w:rightChars="12" w:firstLine="420" w:firstLineChars="200"/>
        <w:rPr>
          <w:rFonts w:ascii="宋体" w:hAnsi="宋体"/>
        </w:rPr>
      </w:pPr>
      <w:r>
        <w:rPr>
          <w:rFonts w:hint="eastAsia" w:ascii="宋体" w:hAnsi="宋体"/>
        </w:rPr>
        <w:t xml:space="preserve">4.5.3  </w:t>
      </w:r>
      <w:r>
        <w:rPr>
          <w:rFonts w:ascii="宋体" w:hAnsi="宋体"/>
        </w:rPr>
        <w:t>排水系统应包括必要的临时排水管、排水井、集水井、临时渠道、水泵等抽水设备。保证施工期间现场范围内没有积水，包括屋面、</w:t>
      </w:r>
      <w:r>
        <w:rPr>
          <w:rFonts w:hint="eastAsia" w:ascii="宋体" w:hAnsi="宋体"/>
        </w:rPr>
        <w:t>盖上</w:t>
      </w:r>
      <w:r>
        <w:rPr>
          <w:rFonts w:ascii="宋体" w:hAnsi="宋体"/>
        </w:rPr>
        <w:t>等。承包人应在竣工后将该等临时排水设备移走，由永久性排水工程代替。若现场范围内积水未能及时排除，所造成的损失由承包人负责。</w:t>
      </w:r>
    </w:p>
    <w:p>
      <w:pPr>
        <w:autoSpaceDE w:val="0"/>
        <w:autoSpaceDN w:val="0"/>
        <w:spacing w:line="276" w:lineRule="auto"/>
        <w:ind w:right="25" w:rightChars="12" w:firstLine="420" w:firstLineChars="200"/>
        <w:rPr>
          <w:rFonts w:ascii="宋体" w:hAnsi="宋体"/>
        </w:rPr>
      </w:pPr>
      <w:r>
        <w:rPr>
          <w:rFonts w:hint="eastAsia" w:ascii="宋体" w:hAnsi="宋体"/>
        </w:rPr>
        <w:t xml:space="preserve">4.5.4  </w:t>
      </w:r>
      <w:r>
        <w:rPr>
          <w:rFonts w:ascii="宋体" w:hAnsi="宋体"/>
        </w:rPr>
        <w:t>承包人的现场临时排水系统应满足政府有关市政管理机构的排放标准，包括对排放前需经过场内沉淀处理的要求。</w:t>
      </w:r>
    </w:p>
    <w:p>
      <w:pPr>
        <w:autoSpaceDE w:val="0"/>
        <w:autoSpaceDN w:val="0"/>
        <w:spacing w:line="276" w:lineRule="auto"/>
        <w:ind w:right="25" w:rightChars="12" w:firstLine="420" w:firstLineChars="200"/>
        <w:rPr>
          <w:rFonts w:ascii="宋体" w:hAnsi="宋体"/>
        </w:rPr>
      </w:pPr>
      <w:r>
        <w:rPr>
          <w:rFonts w:hint="eastAsia" w:ascii="宋体" w:hAnsi="宋体"/>
        </w:rPr>
        <w:t xml:space="preserve">4.5.5  </w:t>
      </w:r>
      <w:r>
        <w:rPr>
          <w:rFonts w:ascii="宋体" w:hAnsi="宋体"/>
        </w:rPr>
        <w:t>承包人必须为进行抽水作业从政府取得所需的任何批准，并</w:t>
      </w:r>
      <w:r>
        <w:rPr>
          <w:rFonts w:hint="eastAsia" w:ascii="宋体" w:hAnsi="宋体"/>
        </w:rPr>
        <w:t>在进度计划中预留</w:t>
      </w:r>
      <w:r>
        <w:rPr>
          <w:rFonts w:ascii="宋体" w:hAnsi="宋体"/>
        </w:rPr>
        <w:t>为取得该等批准</w:t>
      </w:r>
      <w:r>
        <w:rPr>
          <w:rFonts w:hint="eastAsia" w:ascii="宋体" w:hAnsi="宋体"/>
        </w:rPr>
        <w:t>所需的时间。</w:t>
      </w:r>
    </w:p>
    <w:p>
      <w:pPr>
        <w:pStyle w:val="3"/>
        <w:spacing w:before="0" w:after="0" w:line="276" w:lineRule="auto"/>
        <w:ind w:firstLine="413" w:firstLineChars="196"/>
        <w:rPr>
          <w:rFonts w:ascii="宋体" w:hAnsi="宋体"/>
          <w:sz w:val="21"/>
          <w:szCs w:val="21"/>
        </w:rPr>
      </w:pPr>
      <w:bookmarkStart w:id="93" w:name="_Toc166396008"/>
      <w:bookmarkStart w:id="94" w:name="_Toc404603789"/>
      <w:bookmarkStart w:id="95" w:name="_Toc404565086"/>
      <w:bookmarkStart w:id="96" w:name="_Toc167070327"/>
      <w:bookmarkStart w:id="97" w:name="_Toc144459626"/>
      <w:bookmarkStart w:id="98" w:name="_Toc405535530"/>
      <w:r>
        <w:rPr>
          <w:rFonts w:hint="eastAsia" w:ascii="宋体" w:hAnsi="宋体"/>
          <w:sz w:val="21"/>
          <w:szCs w:val="21"/>
        </w:rPr>
        <w:t>4.6  环境保护</w:t>
      </w:r>
      <w:bookmarkEnd w:id="93"/>
      <w:bookmarkEnd w:id="94"/>
      <w:bookmarkEnd w:id="95"/>
      <w:bookmarkEnd w:id="96"/>
      <w:bookmarkEnd w:id="97"/>
      <w:bookmarkEnd w:id="98"/>
    </w:p>
    <w:p>
      <w:pPr>
        <w:autoSpaceDE w:val="0"/>
        <w:autoSpaceDN w:val="0"/>
        <w:spacing w:line="276" w:lineRule="auto"/>
        <w:ind w:right="25" w:rightChars="12" w:firstLine="420" w:firstLineChars="200"/>
        <w:rPr>
          <w:rFonts w:ascii="宋体" w:hAnsi="宋体"/>
        </w:rPr>
      </w:pPr>
      <w:r>
        <w:rPr>
          <w:rFonts w:hint="eastAsia" w:ascii="宋体" w:hAnsi="宋体"/>
        </w:rPr>
        <w:t>本工程必须严格遵守环境保护条款，确保周围环境免受污染和破坏。承包人必须按照有关条款提供和设置一切有效措施，防止对环境任何性质的污染。承包人为提供任何环保措施所发生的费用应为已包括在合同价款内。</w:t>
      </w:r>
    </w:p>
    <w:p>
      <w:pPr>
        <w:autoSpaceDE w:val="0"/>
        <w:autoSpaceDN w:val="0"/>
        <w:spacing w:line="276" w:lineRule="auto"/>
        <w:ind w:right="25" w:rightChars="12" w:firstLine="420" w:firstLineChars="200"/>
        <w:rPr>
          <w:rFonts w:ascii="宋体" w:hAnsi="宋体"/>
        </w:rPr>
      </w:pPr>
      <w:r>
        <w:rPr>
          <w:rFonts w:hint="eastAsia" w:ascii="宋体" w:hAnsi="宋体"/>
        </w:rPr>
        <w:t>环境保护重点内容包括（但不仅限于）如下：</w:t>
      </w:r>
    </w:p>
    <w:p>
      <w:pPr>
        <w:autoSpaceDE w:val="0"/>
        <w:autoSpaceDN w:val="0"/>
        <w:spacing w:line="276" w:lineRule="auto"/>
        <w:ind w:right="25" w:rightChars="12" w:firstLine="420" w:firstLineChars="200"/>
        <w:rPr>
          <w:rFonts w:ascii="宋体" w:hAnsi="宋体"/>
        </w:rPr>
      </w:pPr>
      <w:r>
        <w:rPr>
          <w:rFonts w:hint="eastAsia" w:ascii="宋体" w:hAnsi="宋体"/>
        </w:rPr>
        <w:t>4.6.1  防止水土流失和对市政道路、绿化的污染。</w:t>
      </w:r>
    </w:p>
    <w:p>
      <w:pPr>
        <w:autoSpaceDE w:val="0"/>
        <w:autoSpaceDN w:val="0"/>
        <w:spacing w:line="276" w:lineRule="auto"/>
        <w:ind w:right="25" w:rightChars="12" w:firstLine="420" w:firstLineChars="200"/>
        <w:rPr>
          <w:rFonts w:ascii="宋体" w:hAnsi="宋体"/>
        </w:rPr>
      </w:pPr>
      <w:r>
        <w:rPr>
          <w:rFonts w:hint="eastAsia" w:ascii="宋体" w:hAnsi="宋体"/>
        </w:rPr>
        <w:t>4.6.2  减少施工噪声，避免投诉。</w:t>
      </w:r>
    </w:p>
    <w:p>
      <w:pPr>
        <w:autoSpaceDE w:val="0"/>
        <w:autoSpaceDN w:val="0"/>
        <w:spacing w:line="276" w:lineRule="auto"/>
        <w:ind w:right="25" w:rightChars="12" w:firstLine="420" w:firstLineChars="200"/>
        <w:rPr>
          <w:rFonts w:ascii="宋体" w:hAnsi="宋体"/>
        </w:rPr>
      </w:pPr>
      <w:r>
        <w:rPr>
          <w:rFonts w:hint="eastAsia" w:ascii="宋体" w:hAnsi="宋体"/>
        </w:rPr>
        <w:t>4.6.3  建筑垃圾等废弃物妥善处理。</w:t>
      </w:r>
    </w:p>
    <w:p>
      <w:pPr>
        <w:autoSpaceDE w:val="0"/>
        <w:autoSpaceDN w:val="0"/>
        <w:spacing w:line="276" w:lineRule="auto"/>
        <w:ind w:right="25" w:rightChars="12" w:firstLine="420" w:firstLineChars="200"/>
        <w:rPr>
          <w:rFonts w:ascii="宋体" w:hAnsi="宋体"/>
        </w:rPr>
      </w:pPr>
      <w:r>
        <w:rPr>
          <w:rFonts w:hint="eastAsia" w:ascii="宋体" w:hAnsi="宋体"/>
        </w:rPr>
        <w:t>4.6.4  废水、污水、雨水必须按照有关规定排放。</w:t>
      </w:r>
    </w:p>
    <w:p>
      <w:pPr>
        <w:autoSpaceDE w:val="0"/>
        <w:autoSpaceDN w:val="0"/>
        <w:spacing w:line="276" w:lineRule="auto"/>
        <w:ind w:right="25" w:rightChars="12" w:firstLine="420" w:firstLineChars="200"/>
        <w:rPr>
          <w:rFonts w:ascii="宋体" w:hAnsi="宋体"/>
        </w:rPr>
      </w:pPr>
      <w:r>
        <w:rPr>
          <w:rFonts w:hint="eastAsia" w:ascii="宋体" w:hAnsi="宋体"/>
        </w:rPr>
        <w:t>4.6.5  选择、使用符合环保要求的材料。</w:t>
      </w:r>
    </w:p>
    <w:p>
      <w:pPr>
        <w:autoSpaceDE w:val="0"/>
        <w:autoSpaceDN w:val="0"/>
        <w:spacing w:line="276" w:lineRule="auto"/>
        <w:ind w:right="25" w:rightChars="12" w:firstLine="420" w:firstLineChars="200"/>
        <w:rPr>
          <w:rFonts w:ascii="宋体" w:hAnsi="宋体"/>
        </w:rPr>
      </w:pPr>
      <w:r>
        <w:rPr>
          <w:rFonts w:hint="eastAsia" w:ascii="宋体" w:hAnsi="宋体"/>
        </w:rPr>
        <w:t>4.6.6  若承包人在施工过程中因未遵守政府有关部门的规定或保护措施不力，引致的任何处罚，所有责任及罚款由承包人承担。</w:t>
      </w:r>
    </w:p>
    <w:p>
      <w:pPr>
        <w:pStyle w:val="3"/>
        <w:spacing w:before="0" w:after="0" w:line="276" w:lineRule="auto"/>
        <w:ind w:firstLine="413" w:firstLineChars="196"/>
        <w:rPr>
          <w:rFonts w:ascii="宋体" w:hAnsi="宋体"/>
          <w:sz w:val="21"/>
          <w:szCs w:val="21"/>
        </w:rPr>
      </w:pPr>
      <w:bookmarkStart w:id="99" w:name="_Toc166396009"/>
      <w:bookmarkStart w:id="100" w:name="_Toc404603790"/>
      <w:bookmarkStart w:id="101" w:name="_Toc167070328"/>
      <w:bookmarkStart w:id="102" w:name="_Toc405535531"/>
      <w:bookmarkStart w:id="103" w:name="_Toc144459627"/>
      <w:bookmarkStart w:id="104" w:name="_Toc404565087"/>
      <w:r>
        <w:rPr>
          <w:rFonts w:hint="eastAsia" w:ascii="宋体" w:hAnsi="宋体"/>
          <w:sz w:val="21"/>
          <w:szCs w:val="21"/>
        </w:rPr>
        <w:t>4.7  已完工程及材料保护，淋、闭水试验及设备保护</w:t>
      </w:r>
      <w:bookmarkEnd w:id="99"/>
      <w:bookmarkEnd w:id="100"/>
      <w:bookmarkEnd w:id="101"/>
      <w:bookmarkEnd w:id="102"/>
      <w:bookmarkEnd w:id="103"/>
      <w:bookmarkEnd w:id="104"/>
    </w:p>
    <w:p>
      <w:pPr>
        <w:autoSpaceDE w:val="0"/>
        <w:autoSpaceDN w:val="0"/>
        <w:spacing w:line="276" w:lineRule="auto"/>
        <w:ind w:right="25" w:rightChars="12" w:firstLine="420" w:firstLineChars="200"/>
        <w:rPr>
          <w:rFonts w:ascii="宋体" w:hAnsi="宋体"/>
        </w:rPr>
      </w:pPr>
      <w:bookmarkStart w:id="105" w:name="_Toc167070329"/>
      <w:bookmarkStart w:id="106" w:name="_Toc166396010"/>
      <w:bookmarkStart w:id="107" w:name="_Toc34909073"/>
      <w:r>
        <w:rPr>
          <w:rFonts w:hint="eastAsia" w:ascii="宋体" w:hAnsi="宋体"/>
        </w:rPr>
        <w:t>4.7.1  工程保护</w:t>
      </w:r>
      <w:bookmarkEnd w:id="105"/>
      <w:bookmarkEnd w:id="106"/>
    </w:p>
    <w:bookmarkEnd w:id="107"/>
    <w:p>
      <w:pPr>
        <w:autoSpaceDE w:val="0"/>
        <w:autoSpaceDN w:val="0"/>
        <w:spacing w:line="276" w:lineRule="auto"/>
        <w:ind w:right="25" w:rightChars="12" w:firstLine="420" w:firstLineChars="200"/>
        <w:rPr>
          <w:rFonts w:ascii="宋体" w:hAnsi="宋体"/>
        </w:rPr>
      </w:pPr>
      <w:r>
        <w:rPr>
          <w:rFonts w:hint="eastAsia" w:ascii="宋体" w:hAnsi="宋体"/>
        </w:rPr>
        <w:t>4.7.1.1  承包人施工完成的成品、半成品，在工程竣工移交前，承包人负责保护。任何指定分包人或独立工程承包人对其使用或在其基础上施工，必须得到承包人的许可。对因承包人保护措施不当造成的损坏，由承包人负责修复；对指定分包人或独立工程承包人在施工过程中造成的损坏（需当场发现）由责任人负责修复及承担费用。</w:t>
      </w:r>
    </w:p>
    <w:p>
      <w:pPr>
        <w:autoSpaceDE w:val="0"/>
        <w:autoSpaceDN w:val="0"/>
        <w:spacing w:line="276" w:lineRule="auto"/>
        <w:ind w:right="25" w:rightChars="12" w:firstLine="420" w:firstLineChars="200"/>
        <w:rPr>
          <w:rFonts w:ascii="宋体" w:hAnsi="宋体"/>
        </w:rPr>
      </w:pPr>
      <w:r>
        <w:rPr>
          <w:rFonts w:hint="eastAsia" w:ascii="宋体" w:hAnsi="宋体"/>
        </w:rPr>
        <w:t>4.7.1.2  任何指定分包工程或独立工程完工并经现场监理、承包人及发包人三方确认后先移交给承包人，移交后由承包人负责保护，直至承包人将全部工程移交给发包人止。</w:t>
      </w:r>
    </w:p>
    <w:p>
      <w:pPr>
        <w:autoSpaceDE w:val="0"/>
        <w:autoSpaceDN w:val="0"/>
        <w:spacing w:line="276" w:lineRule="auto"/>
        <w:ind w:right="25" w:rightChars="12" w:firstLine="420" w:firstLineChars="200"/>
        <w:rPr>
          <w:rFonts w:ascii="宋体" w:hAnsi="宋体"/>
        </w:rPr>
      </w:pPr>
      <w:r>
        <w:rPr>
          <w:rFonts w:hint="eastAsia" w:ascii="宋体" w:hAnsi="宋体"/>
        </w:rPr>
        <w:t>4.7.1.3  所有穿过地板的贯穿物均应盖好，以防水渗入或漏入下一层，所有管道、管件、立管、污水管也应受到同样保护。</w:t>
      </w:r>
    </w:p>
    <w:p>
      <w:pPr>
        <w:autoSpaceDE w:val="0"/>
        <w:autoSpaceDN w:val="0"/>
        <w:spacing w:line="276" w:lineRule="auto"/>
        <w:ind w:right="25" w:rightChars="12" w:firstLine="420" w:firstLineChars="200"/>
        <w:rPr>
          <w:rFonts w:ascii="宋体" w:hAnsi="宋体"/>
        </w:rPr>
      </w:pPr>
      <w:r>
        <w:rPr>
          <w:rFonts w:hint="eastAsia" w:ascii="宋体" w:hAnsi="宋体"/>
        </w:rPr>
        <w:t>4.7.1.4  所有现场预留的孔洞、坑周围均应设置牢固的栏栅、踢脚板和挡板。</w:t>
      </w:r>
    </w:p>
    <w:p>
      <w:pPr>
        <w:autoSpaceDE w:val="0"/>
        <w:autoSpaceDN w:val="0"/>
        <w:spacing w:line="276" w:lineRule="auto"/>
        <w:ind w:right="25" w:rightChars="12" w:firstLine="420" w:firstLineChars="200"/>
        <w:rPr>
          <w:rFonts w:ascii="宋体" w:hAnsi="宋体"/>
        </w:rPr>
      </w:pPr>
      <w:r>
        <w:rPr>
          <w:rFonts w:hint="eastAsia" w:ascii="宋体" w:hAnsi="宋体"/>
        </w:rPr>
        <w:t>4.7.1.5  总包需负责对卫生间、屋面结构做48小时蓄水试验。承包人在投标报价时应综合考虑蓄水试验的费用。</w:t>
      </w:r>
    </w:p>
    <w:p>
      <w:pPr>
        <w:autoSpaceDE w:val="0"/>
        <w:autoSpaceDN w:val="0"/>
        <w:spacing w:line="276" w:lineRule="auto"/>
        <w:ind w:right="25" w:rightChars="12" w:firstLine="420" w:firstLineChars="200"/>
        <w:rPr>
          <w:rFonts w:ascii="宋体" w:hAnsi="宋体"/>
        </w:rPr>
      </w:pPr>
      <w:r>
        <w:rPr>
          <w:rFonts w:hint="eastAsia" w:ascii="宋体" w:hAnsi="宋体"/>
        </w:rPr>
        <w:t>4.7.1.6  总包需负责对外幕墙做四性试验（气密性、水密性、抗风压性能、层间结构变形性能）。承包人在投标报价时应综合考虑四性试验的费用。</w:t>
      </w:r>
    </w:p>
    <w:p>
      <w:pPr>
        <w:autoSpaceDE w:val="0"/>
        <w:autoSpaceDN w:val="0"/>
        <w:spacing w:line="276" w:lineRule="auto"/>
        <w:ind w:right="25" w:rightChars="12" w:firstLine="420" w:firstLineChars="200"/>
        <w:rPr>
          <w:rFonts w:ascii="宋体" w:hAnsi="宋体"/>
        </w:rPr>
      </w:pPr>
      <w:bookmarkStart w:id="108" w:name="_Toc166396011"/>
      <w:bookmarkStart w:id="109" w:name="_Toc167070330"/>
      <w:r>
        <w:rPr>
          <w:rFonts w:hint="eastAsia" w:ascii="宋体" w:hAnsi="宋体"/>
        </w:rPr>
        <w:t>4.7.2  避免恶劣天气影响的措施</w:t>
      </w:r>
      <w:bookmarkEnd w:id="108"/>
      <w:bookmarkEnd w:id="109"/>
      <w:r>
        <w:rPr>
          <w:rFonts w:hint="eastAsia" w:ascii="宋体" w:hAnsi="宋体"/>
        </w:rPr>
        <w:t xml:space="preserve"> </w:t>
      </w:r>
    </w:p>
    <w:p>
      <w:pPr>
        <w:autoSpaceDE w:val="0"/>
        <w:autoSpaceDN w:val="0"/>
        <w:spacing w:line="276" w:lineRule="auto"/>
        <w:ind w:right="25" w:rightChars="12" w:firstLine="420" w:firstLineChars="200"/>
        <w:rPr>
          <w:rFonts w:ascii="宋体" w:hAnsi="宋体"/>
        </w:rPr>
      </w:pPr>
      <w:r>
        <w:rPr>
          <w:rFonts w:hint="eastAsia" w:ascii="宋体" w:hAnsi="宋体"/>
        </w:rPr>
        <w:t xml:space="preserve">4.7.2.1  </w:t>
      </w:r>
      <w:r>
        <w:rPr>
          <w:rFonts w:ascii="宋体" w:hAnsi="宋体"/>
        </w:rPr>
        <w:t>承包人应为任何已完成的和将要进行的任何永久和临时工程、材料、设备以及因永久工程施工而暴露的任何毗邻财产提供</w:t>
      </w:r>
      <w:r>
        <w:rPr>
          <w:rFonts w:hint="eastAsia" w:ascii="宋体" w:hAnsi="宋体"/>
        </w:rPr>
        <w:t>有效</w:t>
      </w:r>
      <w:r>
        <w:rPr>
          <w:rFonts w:ascii="宋体" w:hAnsi="宋体"/>
        </w:rPr>
        <w:t>的覆盖和保护措施，以避免恶劣天气（如雨季、</w:t>
      </w:r>
      <w:r>
        <w:rPr>
          <w:rFonts w:hint="eastAsia" w:ascii="宋体" w:hAnsi="宋体"/>
        </w:rPr>
        <w:t>台</w:t>
      </w:r>
      <w:r>
        <w:rPr>
          <w:rFonts w:ascii="宋体" w:hAnsi="宋体"/>
        </w:rPr>
        <w:t>风）对工程施工的任何影响和减少可能的损失；保护措施包括但不限于必要的施工混凝土外加剂（不得使用任何含氨成分的外加剂）、覆盖、加固、抽水、排水以及额外的临时仓库等等</w:t>
      </w:r>
      <w:r>
        <w:rPr>
          <w:rFonts w:hint="eastAsia" w:ascii="宋体" w:hAnsi="宋体"/>
        </w:rPr>
        <w:t>。</w:t>
      </w:r>
    </w:p>
    <w:p>
      <w:pPr>
        <w:autoSpaceDE w:val="0"/>
        <w:autoSpaceDN w:val="0"/>
        <w:spacing w:line="276" w:lineRule="auto"/>
        <w:ind w:right="25" w:rightChars="12" w:firstLine="420" w:firstLineChars="200"/>
        <w:rPr>
          <w:rFonts w:ascii="宋体" w:hAnsi="宋体"/>
        </w:rPr>
      </w:pPr>
      <w:r>
        <w:rPr>
          <w:rFonts w:hint="eastAsia" w:ascii="宋体" w:hAnsi="宋体"/>
        </w:rPr>
        <w:t>4.7.2.2  若由于承包人的疏忽所引起的任何损坏，承包人负责修复并承担费用，延误的工期不予顺延。</w:t>
      </w:r>
    </w:p>
    <w:p>
      <w:pPr>
        <w:pStyle w:val="3"/>
        <w:spacing w:before="0" w:after="0" w:line="276" w:lineRule="auto"/>
        <w:ind w:firstLine="413" w:firstLineChars="196"/>
        <w:rPr>
          <w:rFonts w:ascii="宋体" w:hAnsi="宋体"/>
          <w:sz w:val="21"/>
          <w:szCs w:val="21"/>
        </w:rPr>
      </w:pPr>
      <w:bookmarkStart w:id="110" w:name="_Toc405535532"/>
      <w:bookmarkStart w:id="111" w:name="_Toc404603791"/>
      <w:bookmarkStart w:id="112" w:name="_Toc404565088"/>
      <w:bookmarkStart w:id="113" w:name="_Toc144459628"/>
      <w:r>
        <w:rPr>
          <w:rFonts w:hint="eastAsia" w:ascii="宋体" w:hAnsi="宋体"/>
          <w:sz w:val="21"/>
          <w:szCs w:val="21"/>
        </w:rPr>
        <w:t>4.8  销售配合工作</w:t>
      </w:r>
      <w:bookmarkEnd w:id="110"/>
      <w:bookmarkEnd w:id="111"/>
      <w:bookmarkEnd w:id="112"/>
      <w:bookmarkEnd w:id="113"/>
    </w:p>
    <w:p>
      <w:pPr>
        <w:autoSpaceDE w:val="0"/>
        <w:autoSpaceDN w:val="0"/>
        <w:spacing w:line="276" w:lineRule="auto"/>
        <w:ind w:right="25" w:rightChars="12" w:firstLine="420" w:firstLineChars="200"/>
        <w:rPr>
          <w:rFonts w:ascii="宋体" w:hAnsi="宋体"/>
        </w:rPr>
      </w:pPr>
      <w:r>
        <w:rPr>
          <w:rFonts w:hint="eastAsia" w:ascii="宋体" w:hAnsi="宋体"/>
        </w:rPr>
        <w:t>4.8.1  当发包人进入销售阶段时，为配合售楼，需对施工现场进行美化、包装以及部分工程需提前施工完成（销售配合时间由发包人另行提前通知），承包人应制订切实可行的施工方案（如悬挑脚手架、看房通道、安全防护围篱等），便于室内、外多工种联合作业，交叉施工。既要美化环境，又要保证施工安全。承包人将此作为单独方案编制，经发包人和监理工程师批准后执行。配合售楼引起的各种误工、赶工、窝工、机械占用、场地占用及各种施工措施等一切费用，由承包人承担，承包人在投标报价应综合考虑。</w:t>
      </w:r>
    </w:p>
    <w:p>
      <w:pPr>
        <w:autoSpaceDE w:val="0"/>
        <w:autoSpaceDN w:val="0"/>
        <w:spacing w:line="276" w:lineRule="auto"/>
        <w:ind w:right="25" w:rightChars="12" w:firstLine="420" w:firstLineChars="200"/>
        <w:rPr>
          <w:rFonts w:ascii="宋体" w:hAnsi="宋体"/>
        </w:rPr>
      </w:pPr>
      <w:r>
        <w:rPr>
          <w:rFonts w:hint="eastAsia" w:ascii="宋体" w:hAnsi="宋体"/>
        </w:rPr>
        <w:t>4.8.2  为配合销售而需要提前施工的项目，发包人将提前通知承包人，承包人必须按发包人的要求按时安排施工完毕。如承包人拒绝施工，则发包人有权另择施工单位完成，所发生的费用（另加25%的管理费用）由承包人承担。</w:t>
      </w:r>
    </w:p>
    <w:p>
      <w:pPr>
        <w:autoSpaceDE w:val="0"/>
        <w:autoSpaceDN w:val="0"/>
        <w:spacing w:line="276" w:lineRule="auto"/>
        <w:ind w:right="25" w:rightChars="12" w:firstLine="420" w:firstLineChars="200"/>
        <w:rPr>
          <w:rFonts w:ascii="宋体" w:hAnsi="宋体"/>
        </w:rPr>
      </w:pPr>
      <w:r>
        <w:rPr>
          <w:rFonts w:hint="eastAsia" w:ascii="宋体" w:hAnsi="宋体"/>
        </w:rPr>
        <w:t>4.8.3  双方约定施工现场安全网、施工围板广告权益属发包人，未经发包人许可，承包人不得在这些设施上面悬挂任何广告。（拆除及更改需经发包人批准后实施）</w:t>
      </w:r>
    </w:p>
    <w:p>
      <w:pPr>
        <w:autoSpaceDE w:val="0"/>
        <w:autoSpaceDN w:val="0"/>
        <w:spacing w:line="276" w:lineRule="auto"/>
        <w:ind w:right="25" w:rightChars="12" w:firstLine="420" w:firstLineChars="200"/>
        <w:rPr>
          <w:rFonts w:ascii="宋体" w:hAnsi="宋体"/>
        </w:rPr>
      </w:pPr>
      <w:r>
        <w:rPr>
          <w:rFonts w:hint="eastAsia" w:ascii="宋体" w:hAnsi="宋体"/>
        </w:rPr>
        <w:t>4</w:t>
      </w:r>
      <w:r>
        <w:rPr>
          <w:rFonts w:ascii="宋体" w:hAnsi="宋体"/>
        </w:rPr>
        <w:t xml:space="preserve">.8.4  </w:t>
      </w:r>
      <w:r>
        <w:rPr>
          <w:rFonts w:hint="eastAsia" w:ascii="宋体" w:hAnsi="宋体"/>
        </w:rPr>
        <w:t>为满足销售需要，承包人需配合发包人提供临时水、电等设施，并提供维保服务，以保障销售中心及样板房的正常运行。</w:t>
      </w:r>
    </w:p>
    <w:p>
      <w:pPr>
        <w:pStyle w:val="2"/>
        <w:spacing w:before="0" w:after="0" w:line="276" w:lineRule="auto"/>
        <w:rPr>
          <w:rFonts w:ascii="宋体" w:hAnsi="宋体"/>
          <w:sz w:val="28"/>
          <w:szCs w:val="28"/>
        </w:rPr>
      </w:pPr>
      <w:bookmarkStart w:id="114" w:name="_Toc405535533"/>
      <w:bookmarkStart w:id="115" w:name="_Toc144459629"/>
      <w:r>
        <w:rPr>
          <w:rFonts w:hint="eastAsia" w:ascii="宋体" w:hAnsi="宋体"/>
          <w:sz w:val="28"/>
          <w:szCs w:val="28"/>
        </w:rPr>
        <w:t>5.  承包人工程承包范围及界面分判</w:t>
      </w:r>
      <w:bookmarkEnd w:id="114"/>
      <w:bookmarkEnd w:id="115"/>
    </w:p>
    <w:p>
      <w:pPr>
        <w:pStyle w:val="3"/>
        <w:spacing w:before="0" w:after="0" w:line="276" w:lineRule="auto"/>
        <w:ind w:firstLine="413" w:firstLineChars="196"/>
        <w:rPr>
          <w:rFonts w:ascii="宋体" w:hAnsi="宋体"/>
          <w:sz w:val="21"/>
          <w:szCs w:val="21"/>
        </w:rPr>
      </w:pPr>
      <w:bookmarkStart w:id="116" w:name="_Toc405535534"/>
      <w:bookmarkStart w:id="117" w:name="_Toc144459630"/>
      <w:r>
        <w:rPr>
          <w:rFonts w:hint="eastAsia" w:ascii="宋体" w:hAnsi="宋体"/>
          <w:sz w:val="21"/>
          <w:szCs w:val="21"/>
        </w:rPr>
        <w:t>5.1  工程承包范围</w:t>
      </w:r>
      <w:bookmarkEnd w:id="116"/>
      <w:bookmarkEnd w:id="117"/>
    </w:p>
    <w:p>
      <w:pPr>
        <w:autoSpaceDE w:val="0"/>
        <w:autoSpaceDN w:val="0"/>
        <w:spacing w:line="276" w:lineRule="auto"/>
        <w:ind w:right="25" w:rightChars="12" w:firstLine="420" w:firstLineChars="200"/>
        <w:rPr>
          <w:rFonts w:ascii="宋体" w:hAnsi="宋体"/>
        </w:rPr>
      </w:pPr>
      <w:r>
        <w:rPr>
          <w:rFonts w:hint="eastAsia" w:ascii="宋体" w:hAnsi="宋体"/>
        </w:rPr>
        <w:t>本工程的承包范围详见合同文件的附件1。</w:t>
      </w:r>
    </w:p>
    <w:p>
      <w:pPr>
        <w:pStyle w:val="3"/>
        <w:spacing w:before="0" w:after="0" w:line="276" w:lineRule="auto"/>
        <w:ind w:firstLine="413" w:firstLineChars="196"/>
        <w:rPr>
          <w:rFonts w:ascii="宋体" w:hAnsi="宋体"/>
          <w:sz w:val="21"/>
          <w:szCs w:val="21"/>
        </w:rPr>
      </w:pPr>
      <w:bookmarkStart w:id="118" w:name="_Toc144459631"/>
      <w:bookmarkStart w:id="119" w:name="_Toc405535540"/>
      <w:r>
        <w:rPr>
          <w:rFonts w:hint="eastAsia" w:ascii="宋体" w:hAnsi="宋体"/>
          <w:sz w:val="21"/>
          <w:szCs w:val="21"/>
        </w:rPr>
        <w:t>5.2  工程界面划分</w:t>
      </w:r>
      <w:bookmarkEnd w:id="118"/>
      <w:bookmarkEnd w:id="119"/>
    </w:p>
    <w:p>
      <w:pPr>
        <w:pStyle w:val="49"/>
        <w:spacing w:before="156" w:beforeLines="50" w:after="156" w:line="276" w:lineRule="auto"/>
        <w:outlineLvl w:val="9"/>
        <w:rPr>
          <w:b w:val="0"/>
          <w:kern w:val="2"/>
          <w:sz w:val="21"/>
          <w:szCs w:val="21"/>
        </w:rPr>
      </w:pPr>
      <w:r>
        <w:rPr>
          <w:rFonts w:hint="eastAsia"/>
          <w:b w:val="0"/>
          <w:kern w:val="2"/>
          <w:sz w:val="21"/>
          <w:szCs w:val="21"/>
        </w:rPr>
        <w:t>总承包施工范围如下。</w:t>
      </w:r>
    </w:p>
    <w:p>
      <w:pPr>
        <w:pStyle w:val="49"/>
        <w:spacing w:before="156" w:beforeLines="50" w:after="156" w:line="276" w:lineRule="auto"/>
        <w:outlineLvl w:val="9"/>
        <w:rPr>
          <w:b w:val="0"/>
          <w:kern w:val="2"/>
          <w:sz w:val="21"/>
          <w:szCs w:val="21"/>
        </w:rPr>
      </w:pPr>
      <w:r>
        <w:rPr>
          <w:rFonts w:hint="eastAsia"/>
          <w:b w:val="0"/>
          <w:kern w:val="2"/>
          <w:sz w:val="21"/>
          <w:szCs w:val="21"/>
        </w:rPr>
        <w:t>盖上施工范围</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938"/>
        <w:gridCol w:w="6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449" w:type="pct"/>
            <w:gridSpan w:val="2"/>
            <w:vAlign w:val="center"/>
          </w:tcPr>
          <w:p>
            <w:pPr>
              <w:pStyle w:val="50"/>
              <w:rPr>
                <w:b/>
              </w:rPr>
            </w:pPr>
            <w:r>
              <w:rPr>
                <w:rFonts w:hint="eastAsia"/>
                <w:b/>
              </w:rPr>
              <w:t>分部分项工程</w:t>
            </w:r>
          </w:p>
        </w:tc>
        <w:tc>
          <w:tcPr>
            <w:tcW w:w="3550" w:type="pct"/>
            <w:vAlign w:val="center"/>
          </w:tcPr>
          <w:p>
            <w:pPr>
              <w:pStyle w:val="50"/>
              <w:rPr>
                <w:b/>
              </w:rPr>
            </w:pPr>
            <w:r>
              <w:rPr>
                <w:rFonts w:hint="eastAsia"/>
                <w:b/>
              </w:rPr>
              <w:t>施工内容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406" w:type="pct"/>
            <w:vMerge w:val="restart"/>
            <w:vAlign w:val="center"/>
          </w:tcPr>
          <w:p>
            <w:pPr>
              <w:pStyle w:val="50"/>
              <w:rPr>
                <w:b/>
              </w:rPr>
            </w:pPr>
            <w:r>
              <w:rPr>
                <w:rFonts w:hint="eastAsia"/>
                <w:b/>
              </w:rPr>
              <w:t>土建工程</w:t>
            </w:r>
          </w:p>
        </w:tc>
        <w:tc>
          <w:tcPr>
            <w:tcW w:w="1043" w:type="pct"/>
            <w:vAlign w:val="center"/>
          </w:tcPr>
          <w:p>
            <w:pPr>
              <w:pStyle w:val="50"/>
            </w:pPr>
            <w:r>
              <w:rPr>
                <w:rFonts w:hint="eastAsia"/>
              </w:rPr>
              <w:t>土方及防水工程</w:t>
            </w:r>
          </w:p>
        </w:tc>
        <w:tc>
          <w:tcPr>
            <w:tcW w:w="3550" w:type="pct"/>
            <w:vAlign w:val="center"/>
          </w:tcPr>
          <w:p>
            <w:pPr>
              <w:pStyle w:val="50"/>
              <w:jc w:val="both"/>
            </w:pPr>
            <w:r>
              <w:rPr>
                <w:rFonts w:hint="eastAsia"/>
              </w:rPr>
              <w:t>1、盖板上找坡层、找平层、保护层等工程；</w:t>
            </w:r>
          </w:p>
          <w:p>
            <w:pPr>
              <w:pStyle w:val="50"/>
              <w:jc w:val="both"/>
            </w:pPr>
            <w:r>
              <w:rPr>
                <w:rFonts w:hint="eastAsia"/>
              </w:rPr>
              <w:t>2、盖板上</w:t>
            </w:r>
            <w:r>
              <w:t>卷材防水层、涂膜防水层</w:t>
            </w:r>
            <w:r>
              <w:rPr>
                <w:rFonts w:hint="eastAsia"/>
              </w:rPr>
              <w:t>、滤水板等</w:t>
            </w:r>
            <w:r>
              <w:t>工程</w:t>
            </w:r>
            <w:r>
              <w:rPr>
                <w:rFonts w:hint="eastAsia"/>
              </w:rPr>
              <w:t>；</w:t>
            </w:r>
          </w:p>
          <w:p>
            <w:pPr>
              <w:pStyle w:val="50"/>
              <w:jc w:val="both"/>
            </w:pPr>
            <w:r>
              <w:rPr>
                <w:rFonts w:hint="eastAsia"/>
              </w:rPr>
              <w:t>3、盖板上土方回填、场地平整等工程；</w:t>
            </w:r>
          </w:p>
          <w:p>
            <w:pPr>
              <w:pStyle w:val="50"/>
              <w:jc w:val="both"/>
            </w:pPr>
            <w:r>
              <w:rPr>
                <w:rFonts w:hint="eastAsia"/>
              </w:rPr>
              <w:t>4、盖板上防护网施工。</w:t>
            </w:r>
          </w:p>
          <w:p>
            <w:pPr>
              <w:pStyle w:val="50"/>
              <w:jc w:val="both"/>
            </w:pPr>
            <w:r>
              <w:rPr>
                <w:rFonts w:hint="eastAsia"/>
              </w:rPr>
              <w:t>5、小市政管网沟的开挖及回填压实。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406" w:type="pct"/>
            <w:vMerge w:val="continue"/>
            <w:vAlign w:val="center"/>
          </w:tcPr>
          <w:p>
            <w:pPr>
              <w:pStyle w:val="50"/>
              <w:rPr>
                <w:b/>
              </w:rPr>
            </w:pPr>
          </w:p>
        </w:tc>
        <w:tc>
          <w:tcPr>
            <w:tcW w:w="1043" w:type="pct"/>
            <w:vAlign w:val="center"/>
          </w:tcPr>
          <w:p>
            <w:pPr>
              <w:pStyle w:val="50"/>
            </w:pPr>
            <w:r>
              <w:rPr>
                <w:rFonts w:hint="eastAsia"/>
              </w:rPr>
              <w:t>主体结构工程</w:t>
            </w:r>
          </w:p>
        </w:tc>
        <w:tc>
          <w:tcPr>
            <w:tcW w:w="3550" w:type="pct"/>
            <w:vAlign w:val="center"/>
          </w:tcPr>
          <w:p>
            <w:pPr>
              <w:pStyle w:val="50"/>
              <w:jc w:val="both"/>
            </w:pPr>
            <w:r>
              <w:rPr>
                <w:rFonts w:hint="eastAsia"/>
              </w:rPr>
              <w:t>包括但不限于钢筋工程、混凝土工程、预制构件供货及吊装、模板工程、内支撑及外围护脚手架工程、围护工程等技术</w:t>
            </w:r>
            <w:r>
              <w:t>措施工程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406" w:type="pct"/>
            <w:vMerge w:val="continue"/>
            <w:vAlign w:val="center"/>
          </w:tcPr>
          <w:p>
            <w:pPr>
              <w:pStyle w:val="50"/>
              <w:rPr>
                <w:b/>
              </w:rPr>
            </w:pPr>
          </w:p>
        </w:tc>
        <w:tc>
          <w:tcPr>
            <w:tcW w:w="1043" w:type="pct"/>
            <w:vAlign w:val="center"/>
          </w:tcPr>
          <w:p>
            <w:pPr>
              <w:pStyle w:val="50"/>
            </w:pPr>
            <w:r>
              <w:rPr>
                <w:rFonts w:hint="eastAsia"/>
              </w:rPr>
              <w:t>二次结构工程</w:t>
            </w:r>
          </w:p>
        </w:tc>
        <w:tc>
          <w:tcPr>
            <w:tcW w:w="3550" w:type="pct"/>
            <w:vAlign w:val="center"/>
          </w:tcPr>
          <w:p>
            <w:pPr>
              <w:pStyle w:val="50"/>
              <w:jc w:val="both"/>
            </w:pPr>
            <w:r>
              <w:rPr>
                <w:rFonts w:hint="eastAsia"/>
              </w:rPr>
              <w:t>包括但不限于室内隔墙、外围护墙、土建洞口收口砌筑、风帽砌筑、管井及电梯井砌筑、相应部位混凝土挡水坎台（如卫生间、电梯机房）、混凝土导墙（每层设备管井位置、每层电梯井位置）、构造柱、圈梁、雨污水井、电缆井、电缆沟及相关二次结构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406" w:type="pct"/>
            <w:vAlign w:val="center"/>
          </w:tcPr>
          <w:p>
            <w:pPr>
              <w:pStyle w:val="50"/>
              <w:rPr>
                <w:b/>
              </w:rPr>
            </w:pPr>
            <w:r>
              <w:rPr>
                <w:rFonts w:hint="eastAsia"/>
                <w:b/>
              </w:rPr>
              <w:t>屋面工程</w:t>
            </w:r>
          </w:p>
        </w:tc>
        <w:tc>
          <w:tcPr>
            <w:tcW w:w="1043" w:type="pct"/>
            <w:vAlign w:val="center"/>
          </w:tcPr>
          <w:p>
            <w:pPr>
              <w:pStyle w:val="50"/>
            </w:pPr>
            <w:r>
              <w:rPr>
                <w:rFonts w:hint="eastAsia"/>
              </w:rPr>
              <w:t>屋面工程</w:t>
            </w:r>
          </w:p>
        </w:tc>
        <w:tc>
          <w:tcPr>
            <w:tcW w:w="3550" w:type="pct"/>
            <w:vAlign w:val="center"/>
          </w:tcPr>
          <w:p>
            <w:pPr>
              <w:pStyle w:val="50"/>
              <w:jc w:val="both"/>
            </w:pPr>
            <w:r>
              <w:rPr>
                <w:rFonts w:hint="eastAsia"/>
              </w:rPr>
              <w:t>包括但不限于屋面找坡层、找平层、隔离层、排汽层、防水层、保护层、饰面层等施工完成及闭水试验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6" w:type="pct"/>
            <w:vMerge w:val="restart"/>
            <w:vAlign w:val="center"/>
          </w:tcPr>
          <w:p>
            <w:pPr>
              <w:pStyle w:val="50"/>
              <w:rPr>
                <w:b/>
              </w:rPr>
            </w:pPr>
            <w:r>
              <w:rPr>
                <w:rFonts w:hint="eastAsia"/>
                <w:b/>
              </w:rPr>
              <w:t>装饰装修工程</w:t>
            </w:r>
          </w:p>
        </w:tc>
        <w:tc>
          <w:tcPr>
            <w:tcW w:w="1043" w:type="pct"/>
            <w:vAlign w:val="center"/>
          </w:tcPr>
          <w:p>
            <w:pPr>
              <w:pStyle w:val="50"/>
            </w:pPr>
            <w:r>
              <w:rPr>
                <w:rFonts w:hint="eastAsia"/>
              </w:rPr>
              <w:t>粗装修工程</w:t>
            </w:r>
          </w:p>
        </w:tc>
        <w:tc>
          <w:tcPr>
            <w:tcW w:w="3550" w:type="pct"/>
            <w:vAlign w:val="center"/>
          </w:tcPr>
          <w:p>
            <w:pPr>
              <w:pStyle w:val="50"/>
              <w:jc w:val="both"/>
            </w:pPr>
            <w:r>
              <w:rPr>
                <w:rFonts w:hint="eastAsia"/>
              </w:rPr>
              <w:t>1、包括但不限于室内墙面抹灰（含所有洞口的收口、抹灰等）、地面找平层或找坡层或保护层、地面细石混凝土工程、地面隔声降噪涂料、顶面装修等工程。</w:t>
            </w:r>
          </w:p>
          <w:p>
            <w:pPr>
              <w:pStyle w:val="50"/>
              <w:jc w:val="both"/>
            </w:pPr>
            <w:r>
              <w:t>2</w:t>
            </w:r>
            <w:r>
              <w:rPr>
                <w:rFonts w:hint="eastAsia"/>
              </w:rPr>
              <w:t>、各类设备用房、管井、楼梯间粗装修工程等非精装区域装饰装修工程（含服务于盖上项目但位于盖下的各类设备机房、管井，盖下部分以最终决策为准），具体见图纸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406" w:type="pct"/>
            <w:vMerge w:val="continue"/>
            <w:vAlign w:val="center"/>
          </w:tcPr>
          <w:p>
            <w:pPr>
              <w:pStyle w:val="50"/>
              <w:rPr>
                <w:b/>
              </w:rPr>
            </w:pPr>
          </w:p>
        </w:tc>
        <w:tc>
          <w:tcPr>
            <w:tcW w:w="1043" w:type="pct"/>
            <w:vAlign w:val="center"/>
          </w:tcPr>
          <w:p>
            <w:pPr>
              <w:pStyle w:val="50"/>
            </w:pPr>
            <w:r>
              <w:rPr>
                <w:rFonts w:hint="eastAsia"/>
              </w:rPr>
              <w:t>精装修工程</w:t>
            </w:r>
          </w:p>
        </w:tc>
        <w:tc>
          <w:tcPr>
            <w:tcW w:w="3550" w:type="pct"/>
            <w:vAlign w:val="center"/>
          </w:tcPr>
          <w:p>
            <w:pPr>
              <w:pStyle w:val="50"/>
              <w:jc w:val="both"/>
            </w:pPr>
            <w:r>
              <w:t>入户大堂</w:t>
            </w:r>
            <w:r>
              <w:rPr>
                <w:rFonts w:hint="eastAsia"/>
              </w:rPr>
              <w:t>及过道、电梯前室、公区及卫生间的墙面、顶面、地面的装饰装修施工（含服务于盖上项目但位于盖下的电梯前室，电梯厅，电梯井道外侧装修，盖下部分以最终决策为准）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406" w:type="pct"/>
            <w:vMerge w:val="continue"/>
            <w:vAlign w:val="center"/>
          </w:tcPr>
          <w:p>
            <w:pPr>
              <w:pStyle w:val="50"/>
              <w:rPr>
                <w:b/>
              </w:rPr>
            </w:pPr>
          </w:p>
        </w:tc>
        <w:tc>
          <w:tcPr>
            <w:tcW w:w="1043" w:type="pct"/>
            <w:vAlign w:val="center"/>
          </w:tcPr>
          <w:p>
            <w:pPr>
              <w:pStyle w:val="50"/>
            </w:pPr>
            <w:r>
              <w:rPr>
                <w:rFonts w:hint="eastAsia"/>
              </w:rPr>
              <w:t>门及栏杆工程</w:t>
            </w:r>
          </w:p>
        </w:tc>
        <w:tc>
          <w:tcPr>
            <w:tcW w:w="3550" w:type="pct"/>
            <w:vAlign w:val="center"/>
          </w:tcPr>
          <w:p>
            <w:pPr>
              <w:pStyle w:val="50"/>
              <w:jc w:val="both"/>
            </w:pPr>
            <w:r>
              <w:rPr>
                <w:rFonts w:hint="eastAsia"/>
              </w:rPr>
              <w:t>室内门、入户门、防火门、管井门、单元门、楼栋门等安装完成。楼梯栏杆、扶手栏杆、露台栏杆、窗台栏杆、阳台栏杆、无障碍坡道栏杆（若有）、18.3m防抛网及玻璃栏板、10m~18.3m层楼梯扶手等安装完成。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406" w:type="pct"/>
            <w:vAlign w:val="center"/>
          </w:tcPr>
          <w:p>
            <w:pPr>
              <w:pStyle w:val="50"/>
              <w:rPr>
                <w:b/>
              </w:rPr>
            </w:pPr>
            <w:r>
              <w:rPr>
                <w:rFonts w:hint="eastAsia"/>
                <w:b/>
              </w:rPr>
              <w:t>外立面</w:t>
            </w:r>
          </w:p>
        </w:tc>
        <w:tc>
          <w:tcPr>
            <w:tcW w:w="1043" w:type="pct"/>
            <w:vAlign w:val="center"/>
          </w:tcPr>
          <w:p>
            <w:pPr>
              <w:pStyle w:val="50"/>
            </w:pPr>
            <w:r>
              <w:rPr>
                <w:rFonts w:hint="eastAsia"/>
              </w:rPr>
              <w:t>幕墙、铝合金门窗工程</w:t>
            </w:r>
          </w:p>
        </w:tc>
        <w:tc>
          <w:tcPr>
            <w:tcW w:w="3550" w:type="pct"/>
            <w:vAlign w:val="center"/>
          </w:tcPr>
          <w:p>
            <w:pPr>
              <w:pStyle w:val="50"/>
              <w:jc w:val="both"/>
            </w:pPr>
            <w:r>
              <w:rPr>
                <w:rFonts w:hint="eastAsia"/>
              </w:rPr>
              <w:t>包括并不限于外幕墙系统的窗框、玻璃、铝板、百叶、格栅、外立面造型（铝型材）、连廊幕墙、采光井及电梯井顶面玻璃、涂料、小品等安装完成，及相关淋水试验。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Align w:val="center"/>
          </w:tcPr>
          <w:p>
            <w:pPr>
              <w:pStyle w:val="50"/>
              <w:rPr>
                <w:b/>
              </w:rPr>
            </w:pPr>
            <w:r>
              <w:rPr>
                <w:rFonts w:hint="eastAsia"/>
                <w:b/>
              </w:rPr>
              <w:t>给水系统</w:t>
            </w:r>
          </w:p>
        </w:tc>
        <w:tc>
          <w:tcPr>
            <w:tcW w:w="1043" w:type="pct"/>
            <w:vAlign w:val="center"/>
          </w:tcPr>
          <w:p>
            <w:pPr>
              <w:pStyle w:val="50"/>
            </w:pPr>
            <w:r>
              <w:rPr>
                <w:rFonts w:hint="eastAsia"/>
              </w:rPr>
              <w:t>/</w:t>
            </w:r>
          </w:p>
        </w:tc>
        <w:tc>
          <w:tcPr>
            <w:tcW w:w="3550" w:type="pct"/>
            <w:vAlign w:val="center"/>
          </w:tcPr>
          <w:p>
            <w:pPr>
              <w:pStyle w:val="50"/>
              <w:jc w:val="both"/>
            </w:pPr>
            <w:r>
              <w:rPr>
                <w:rFonts w:hint="eastAsia"/>
              </w:rPr>
              <w:t>1、包括并不限于室外园区生活给水管道敷设并接至各楼栋首层水管井；</w:t>
            </w:r>
          </w:p>
          <w:p>
            <w:pPr>
              <w:pStyle w:val="50"/>
              <w:jc w:val="both"/>
            </w:pPr>
            <w:r>
              <w:rPr>
                <w:rFonts w:hint="eastAsia"/>
              </w:rPr>
              <w:t>2、包括并不限于每层水管井分出给水支管沿吊顶敷设到户内，末端加塑料水龙头。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Align w:val="center"/>
          </w:tcPr>
          <w:p>
            <w:pPr>
              <w:pStyle w:val="50"/>
              <w:rPr>
                <w:b/>
              </w:rPr>
            </w:pPr>
            <w:r>
              <w:rPr>
                <w:rFonts w:hint="eastAsia"/>
                <w:b/>
              </w:rPr>
              <w:t>排水系统</w:t>
            </w:r>
          </w:p>
        </w:tc>
        <w:tc>
          <w:tcPr>
            <w:tcW w:w="1043" w:type="pct"/>
            <w:vAlign w:val="center"/>
          </w:tcPr>
          <w:p>
            <w:pPr>
              <w:pStyle w:val="50"/>
            </w:pPr>
            <w:r>
              <w:rPr>
                <w:rFonts w:hint="eastAsia"/>
              </w:rPr>
              <w:t>/</w:t>
            </w:r>
          </w:p>
        </w:tc>
        <w:tc>
          <w:tcPr>
            <w:tcW w:w="3550" w:type="pct"/>
            <w:vAlign w:val="center"/>
          </w:tcPr>
          <w:p>
            <w:pPr>
              <w:pStyle w:val="50"/>
              <w:jc w:val="both"/>
            </w:pPr>
            <w:r>
              <w:rPr>
                <w:rFonts w:hint="eastAsia"/>
              </w:rPr>
              <w:t>1、包括并不限于18.3m盖板处园区雨污（废）水管道敷设</w:t>
            </w:r>
          </w:p>
          <w:p>
            <w:pPr>
              <w:pStyle w:val="50"/>
              <w:jc w:val="both"/>
            </w:pPr>
            <w:r>
              <w:rPr>
                <w:rFonts w:hint="eastAsia"/>
              </w:rPr>
              <w:t>2、包括并不限于各楼栋雨污（废）水系统、屋面雨水系统（含雨棚排水系统）施工并接驳至园区雨污水主管网</w:t>
            </w:r>
          </w:p>
          <w:p>
            <w:pPr>
              <w:pStyle w:val="50"/>
              <w:jc w:val="both"/>
            </w:pPr>
            <w:r>
              <w:rPr>
                <w:rFonts w:hint="eastAsia"/>
              </w:rPr>
              <w:t>3、通球试验合格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Align w:val="center"/>
          </w:tcPr>
          <w:p>
            <w:pPr>
              <w:pStyle w:val="50"/>
              <w:rPr>
                <w:b/>
              </w:rPr>
            </w:pPr>
            <w:r>
              <w:rPr>
                <w:rFonts w:hint="eastAsia"/>
                <w:b/>
              </w:rPr>
              <w:t>消防系统</w:t>
            </w:r>
          </w:p>
        </w:tc>
        <w:tc>
          <w:tcPr>
            <w:tcW w:w="1043" w:type="pct"/>
            <w:vAlign w:val="center"/>
          </w:tcPr>
          <w:p>
            <w:pPr>
              <w:pStyle w:val="50"/>
            </w:pPr>
            <w:r>
              <w:rPr>
                <w:rFonts w:hint="eastAsia"/>
              </w:rPr>
              <w:t>/</w:t>
            </w:r>
          </w:p>
        </w:tc>
        <w:tc>
          <w:tcPr>
            <w:tcW w:w="3550" w:type="pct"/>
            <w:vAlign w:val="center"/>
          </w:tcPr>
          <w:p>
            <w:pPr>
              <w:pStyle w:val="50"/>
              <w:jc w:val="both"/>
            </w:pPr>
            <w:r>
              <w:rPr>
                <w:rFonts w:hint="eastAsia"/>
              </w:rPr>
              <w:t>1、包括并不限于室外园区消火栓、喷淋管道、室外水泵接合器施工完成；</w:t>
            </w:r>
          </w:p>
          <w:p>
            <w:pPr>
              <w:pStyle w:val="50"/>
              <w:jc w:val="both"/>
            </w:pPr>
            <w:r>
              <w:rPr>
                <w:rFonts w:hint="eastAsia"/>
              </w:rPr>
              <w:t>2、包括并不限于各楼栋内消火栓系统、喷淋系统安装完成；</w:t>
            </w:r>
          </w:p>
          <w:p>
            <w:pPr>
              <w:pStyle w:val="50"/>
              <w:jc w:val="both"/>
            </w:pPr>
            <w:r>
              <w:rPr>
                <w:rFonts w:hint="eastAsia"/>
              </w:rPr>
              <w:t>3、包括并不限于各楼栋送排风及防排烟系统施工完成；</w:t>
            </w:r>
          </w:p>
          <w:p>
            <w:pPr>
              <w:pStyle w:val="50"/>
              <w:jc w:val="both"/>
            </w:pPr>
            <w:r>
              <w:rPr>
                <w:rFonts w:hint="eastAsia"/>
              </w:rPr>
              <w:t>4、包括并不限于盖板上各楼栋消防火灾报警系统、防火门监控系统、电气火灾报警系统施工完成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Align w:val="center"/>
          </w:tcPr>
          <w:p>
            <w:pPr>
              <w:pStyle w:val="50"/>
              <w:rPr>
                <w:b/>
              </w:rPr>
            </w:pPr>
            <w:r>
              <w:rPr>
                <w:rFonts w:hint="eastAsia"/>
                <w:b/>
              </w:rPr>
              <w:t>防雷接地系统</w:t>
            </w:r>
          </w:p>
        </w:tc>
        <w:tc>
          <w:tcPr>
            <w:tcW w:w="1043" w:type="pct"/>
            <w:vAlign w:val="center"/>
          </w:tcPr>
          <w:p>
            <w:pPr>
              <w:pStyle w:val="50"/>
            </w:pPr>
            <w:r>
              <w:rPr>
                <w:rFonts w:hint="eastAsia"/>
              </w:rPr>
              <w:t>避雷网</w:t>
            </w:r>
          </w:p>
        </w:tc>
        <w:tc>
          <w:tcPr>
            <w:tcW w:w="3550" w:type="pct"/>
            <w:vAlign w:val="center"/>
          </w:tcPr>
          <w:p>
            <w:pPr>
              <w:pStyle w:val="50"/>
              <w:jc w:val="both"/>
            </w:pPr>
            <w:r>
              <w:rPr>
                <w:rFonts w:hint="eastAsia"/>
              </w:rPr>
              <w:t>包括并不限于屋面避雷网、幕墙（门窗）防雷系统、防雷引下线、卫生间局部等电位、接地体、接闪器、总等电位施工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Merge w:val="restart"/>
            <w:vAlign w:val="center"/>
          </w:tcPr>
          <w:p>
            <w:pPr>
              <w:pStyle w:val="50"/>
              <w:rPr>
                <w:b/>
              </w:rPr>
            </w:pPr>
            <w:r>
              <w:rPr>
                <w:rFonts w:hint="eastAsia"/>
                <w:b/>
              </w:rPr>
              <w:t>强弱电系统</w:t>
            </w:r>
          </w:p>
        </w:tc>
        <w:tc>
          <w:tcPr>
            <w:tcW w:w="1043" w:type="pct"/>
            <w:vAlign w:val="center"/>
          </w:tcPr>
          <w:p>
            <w:pPr>
              <w:pStyle w:val="50"/>
            </w:pPr>
            <w:r>
              <w:rPr>
                <w:rFonts w:hint="eastAsia"/>
              </w:rPr>
              <w:t>室外强弱电管网</w:t>
            </w:r>
          </w:p>
        </w:tc>
        <w:tc>
          <w:tcPr>
            <w:tcW w:w="3550" w:type="pct"/>
            <w:vAlign w:val="center"/>
          </w:tcPr>
          <w:p>
            <w:pPr>
              <w:pStyle w:val="50"/>
              <w:jc w:val="both"/>
            </w:pPr>
            <w:r>
              <w:rPr>
                <w:rFonts w:hint="eastAsia"/>
              </w:rPr>
              <w:t>包括并不限于室外强弱电小市政系统完成，电力电缆敷设，电力接驳完成。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Merge w:val="continue"/>
          </w:tcPr>
          <w:p>
            <w:pPr>
              <w:pStyle w:val="50"/>
            </w:pPr>
          </w:p>
        </w:tc>
        <w:tc>
          <w:tcPr>
            <w:tcW w:w="1043" w:type="pct"/>
            <w:vAlign w:val="center"/>
          </w:tcPr>
          <w:p>
            <w:pPr>
              <w:pStyle w:val="50"/>
            </w:pPr>
            <w:r>
              <w:rPr>
                <w:rFonts w:hint="eastAsia"/>
              </w:rPr>
              <w:t>强电</w:t>
            </w:r>
          </w:p>
        </w:tc>
        <w:tc>
          <w:tcPr>
            <w:tcW w:w="3550" w:type="pct"/>
            <w:vAlign w:val="center"/>
          </w:tcPr>
          <w:p>
            <w:pPr>
              <w:pStyle w:val="50"/>
              <w:jc w:val="both"/>
            </w:pPr>
            <w:r>
              <w:rPr>
                <w:rFonts w:hint="eastAsia"/>
              </w:rPr>
              <w:t>1、包括并不限于低压柜后的动力系统、照明系统、等电位连接、桥架及电线电缆电箱采购安装、抗震支架安装、防雷接地工程；</w:t>
            </w:r>
          </w:p>
          <w:p>
            <w:pPr>
              <w:pStyle w:val="50"/>
              <w:jc w:val="both"/>
            </w:pPr>
            <w:r>
              <w:t>2、</w:t>
            </w:r>
            <w:r>
              <w:rPr>
                <w:rFonts w:hint="eastAsia"/>
              </w:rPr>
              <w:t>中控室、运营商机房、电梯机房等设备用房电力系统完成。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Merge w:val="continue"/>
          </w:tcPr>
          <w:p>
            <w:pPr>
              <w:pStyle w:val="50"/>
            </w:pPr>
          </w:p>
        </w:tc>
        <w:tc>
          <w:tcPr>
            <w:tcW w:w="1043" w:type="pct"/>
            <w:vAlign w:val="center"/>
          </w:tcPr>
          <w:p>
            <w:pPr>
              <w:pStyle w:val="50"/>
            </w:pPr>
            <w:r>
              <w:rPr>
                <w:rFonts w:hint="eastAsia"/>
              </w:rPr>
              <w:t>弱电系统</w:t>
            </w:r>
          </w:p>
        </w:tc>
        <w:tc>
          <w:tcPr>
            <w:tcW w:w="3550" w:type="pct"/>
            <w:vAlign w:val="center"/>
          </w:tcPr>
          <w:p>
            <w:pPr>
              <w:pStyle w:val="50"/>
              <w:jc w:val="both"/>
            </w:pPr>
            <w:r>
              <w:rPr>
                <w:rFonts w:hint="eastAsia"/>
              </w:rPr>
              <w:t>1、包括并不限于安防监控室、运营商机房等设备用房弱电系统完成。</w:t>
            </w:r>
          </w:p>
          <w:p>
            <w:pPr>
              <w:pStyle w:val="50"/>
              <w:jc w:val="both"/>
            </w:pPr>
            <w:r>
              <w:rPr>
                <w:rFonts w:hint="eastAsia"/>
              </w:rPr>
              <w:t>2、包括并不限于盖上户内弱电箱、弱电机柜、可视对讲系统、监控系统、楼控系统、门禁系统、五方对讲系统、光纤入户系统、信号覆盖系统、有线电视系统等施工完成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Merge w:val="continue"/>
          </w:tcPr>
          <w:p>
            <w:pPr>
              <w:pStyle w:val="50"/>
            </w:pPr>
          </w:p>
        </w:tc>
        <w:tc>
          <w:tcPr>
            <w:tcW w:w="1043" w:type="pct"/>
            <w:vAlign w:val="center"/>
          </w:tcPr>
          <w:p>
            <w:pPr>
              <w:pStyle w:val="50"/>
            </w:pPr>
            <w:r>
              <w:rPr>
                <w:rFonts w:hint="eastAsia"/>
              </w:rPr>
              <w:t>室内强弱电系统</w:t>
            </w:r>
          </w:p>
        </w:tc>
        <w:tc>
          <w:tcPr>
            <w:tcW w:w="3550" w:type="pct"/>
            <w:vAlign w:val="center"/>
          </w:tcPr>
          <w:p>
            <w:pPr>
              <w:pStyle w:val="50"/>
              <w:jc w:val="both"/>
            </w:pPr>
            <w:r>
              <w:rPr>
                <w:rFonts w:hint="eastAsia"/>
              </w:rPr>
              <w:t>1、包括并不限于总电表箱至户内配电箱的线缆敷设（含压接）、户内配电箱完成、弱电箱配置一个插排。</w:t>
            </w:r>
          </w:p>
          <w:p>
            <w:pPr>
              <w:pStyle w:val="50"/>
              <w:jc w:val="both"/>
            </w:pPr>
            <w:r>
              <w:rPr>
                <w:rFonts w:hint="eastAsia"/>
              </w:rPr>
              <w:t>2、包括并不限于办公户内电线只安装到入户配电箱，就近安装一个插座和一个灯及开关完成。</w:t>
            </w:r>
          </w:p>
          <w:p>
            <w:pPr>
              <w:pStyle w:val="50"/>
              <w:jc w:val="both"/>
            </w:pPr>
            <w:r>
              <w:rPr>
                <w:rFonts w:hint="eastAsia"/>
              </w:rPr>
              <w:t>3、包括并不限于首层商铺强弱电箱安装到位,商铺内安装一个开关和白炽灯。</w:t>
            </w:r>
          </w:p>
          <w:p>
            <w:pPr>
              <w:pStyle w:val="50"/>
              <w:jc w:val="both"/>
            </w:pPr>
            <w:r>
              <w:rPr>
                <w:rFonts w:hint="eastAsia"/>
              </w:rPr>
              <w:t>4、包括并不限于室内烟感进行配线，并完成烟感安装。</w:t>
            </w:r>
          </w:p>
          <w:p>
            <w:pPr>
              <w:pStyle w:val="50"/>
              <w:jc w:val="both"/>
            </w:pPr>
            <w:r>
              <w:rPr>
                <w:rFonts w:hint="eastAsia"/>
              </w:rPr>
              <w:t>5、包括并不限于五方对讲系统中控设备、通讯线缆；电梯轿厢内五方通话对接设备及线缆敷设完成。</w:t>
            </w:r>
          </w:p>
          <w:p>
            <w:pPr>
              <w:pStyle w:val="50"/>
              <w:jc w:val="both"/>
            </w:pPr>
            <w:r>
              <w:rPr>
                <w:rFonts w:hint="eastAsia"/>
              </w:rPr>
              <w:t>6、包括并不限于弱电电线只安装到户内弱电配电箱,弱电配电箱到各插座线管预埋到位。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Merge w:val="restart"/>
            <w:vAlign w:val="center"/>
          </w:tcPr>
          <w:p>
            <w:pPr>
              <w:pStyle w:val="50"/>
              <w:rPr>
                <w:b/>
              </w:rPr>
            </w:pPr>
            <w:r>
              <w:rPr>
                <w:b/>
              </w:rPr>
              <w:t>设备机房</w:t>
            </w:r>
          </w:p>
        </w:tc>
        <w:tc>
          <w:tcPr>
            <w:tcW w:w="1043" w:type="pct"/>
            <w:vAlign w:val="center"/>
          </w:tcPr>
          <w:p>
            <w:pPr>
              <w:pStyle w:val="50"/>
            </w:pPr>
            <w:r>
              <w:rPr>
                <w:rFonts w:hint="eastAsia"/>
              </w:rPr>
              <w:t>安防（消防）监控室</w:t>
            </w:r>
          </w:p>
        </w:tc>
        <w:tc>
          <w:tcPr>
            <w:tcW w:w="3550" w:type="pct"/>
            <w:vAlign w:val="center"/>
          </w:tcPr>
          <w:p>
            <w:pPr>
              <w:pStyle w:val="50"/>
              <w:numPr>
                <w:ilvl w:val="0"/>
                <w:numId w:val="2"/>
              </w:numPr>
              <w:jc w:val="both"/>
            </w:pPr>
            <w:r>
              <w:rPr>
                <w:rFonts w:hint="eastAsia"/>
              </w:rPr>
              <w:t>包括并不限于设备电源的配管、配线、与强电电源柜接驳完成、UPS电源。</w:t>
            </w:r>
          </w:p>
          <w:p>
            <w:pPr>
              <w:pStyle w:val="50"/>
              <w:jc w:val="both"/>
            </w:pPr>
            <w:r>
              <w:rPr>
                <w:rFonts w:hint="eastAsia"/>
              </w:rPr>
              <w:t>2、包括并不限于智能化、消防设备安装及接地完成。</w:t>
            </w:r>
          </w:p>
          <w:p>
            <w:pPr>
              <w:pStyle w:val="50"/>
              <w:jc w:val="both"/>
            </w:pPr>
            <w:r>
              <w:rPr>
                <w:rFonts w:hint="eastAsia"/>
              </w:rPr>
              <w:t>3、包括并不限于室内静电地板、控制室装修及接地、空调供应安装完成。</w:t>
            </w:r>
          </w:p>
          <w:p>
            <w:pPr>
              <w:pStyle w:val="50"/>
              <w:jc w:val="both"/>
            </w:pPr>
            <w:r>
              <w:rPr>
                <w:rFonts w:hint="eastAsia"/>
              </w:rPr>
              <w:t>4、包括并不限于室内水平线槽敷设、桥架接驳完成。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Merge w:val="continue"/>
          </w:tcPr>
          <w:p>
            <w:pPr>
              <w:pStyle w:val="50"/>
            </w:pPr>
          </w:p>
        </w:tc>
        <w:tc>
          <w:tcPr>
            <w:tcW w:w="1043" w:type="pct"/>
            <w:vAlign w:val="center"/>
          </w:tcPr>
          <w:p>
            <w:pPr>
              <w:pStyle w:val="50"/>
            </w:pPr>
            <w:r>
              <w:rPr>
                <w:rFonts w:hint="eastAsia"/>
              </w:rPr>
              <w:t>运营商机房</w:t>
            </w:r>
          </w:p>
        </w:tc>
        <w:tc>
          <w:tcPr>
            <w:tcW w:w="3550" w:type="pct"/>
            <w:vAlign w:val="center"/>
          </w:tcPr>
          <w:p>
            <w:pPr>
              <w:pStyle w:val="50"/>
              <w:jc w:val="both"/>
            </w:pPr>
            <w:r>
              <w:rPr>
                <w:rFonts w:hint="eastAsia"/>
              </w:rPr>
              <w:t>1、包括并不限于公用配电柜至运营商机房电源柜完成。</w:t>
            </w:r>
          </w:p>
          <w:p>
            <w:pPr>
              <w:pStyle w:val="50"/>
              <w:jc w:val="both"/>
            </w:pPr>
            <w:r>
              <w:rPr>
                <w:rFonts w:hint="eastAsia"/>
              </w:rPr>
              <w:t>2、包括并不限于运营商机房电源柜至所有末端点位的灯具、开关、插座、面板完成。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Merge w:val="continue"/>
          </w:tcPr>
          <w:p>
            <w:pPr>
              <w:pStyle w:val="50"/>
            </w:pPr>
          </w:p>
        </w:tc>
        <w:tc>
          <w:tcPr>
            <w:tcW w:w="1043" w:type="pct"/>
            <w:vAlign w:val="center"/>
          </w:tcPr>
          <w:p>
            <w:pPr>
              <w:pStyle w:val="50"/>
            </w:pPr>
            <w:r>
              <w:rPr>
                <w:rFonts w:hint="eastAsia"/>
              </w:rPr>
              <w:t>动力弱电系统（各弱电间）</w:t>
            </w:r>
          </w:p>
        </w:tc>
        <w:tc>
          <w:tcPr>
            <w:tcW w:w="3550" w:type="pct"/>
            <w:vAlign w:val="center"/>
          </w:tcPr>
          <w:p>
            <w:pPr>
              <w:pStyle w:val="50"/>
              <w:jc w:val="both"/>
            </w:pPr>
            <w:r>
              <w:rPr>
                <w:rFonts w:hint="eastAsia"/>
              </w:rPr>
              <w:t>1、包括并不限于公用配电柜至各弱电间电源柜完成。</w:t>
            </w:r>
          </w:p>
          <w:p>
            <w:pPr>
              <w:pStyle w:val="50"/>
              <w:jc w:val="both"/>
            </w:pPr>
            <w:r>
              <w:rPr>
                <w:rFonts w:hint="eastAsia"/>
              </w:rPr>
              <w:t>2、包括并不限于各弱电电源柜至所有末端点位的灯具、开关、插座、面板完成。</w:t>
            </w:r>
          </w:p>
          <w:p>
            <w:pPr>
              <w:pStyle w:val="50"/>
              <w:jc w:val="both"/>
            </w:pPr>
            <w:r>
              <w:rPr>
                <w:rFonts w:hint="eastAsia"/>
              </w:rPr>
              <w:t>3、包括并不限于UPS电源箱、弱电设备安装及接地完成。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Merge w:val="continue"/>
          </w:tcPr>
          <w:p>
            <w:pPr>
              <w:pStyle w:val="50"/>
            </w:pPr>
          </w:p>
        </w:tc>
        <w:tc>
          <w:tcPr>
            <w:tcW w:w="1043" w:type="pct"/>
            <w:vAlign w:val="center"/>
          </w:tcPr>
          <w:p>
            <w:pPr>
              <w:pStyle w:val="50"/>
            </w:pPr>
            <w:r>
              <w:rPr>
                <w:rFonts w:hint="eastAsia"/>
              </w:rPr>
              <w:t>电梯机房</w:t>
            </w:r>
          </w:p>
        </w:tc>
        <w:tc>
          <w:tcPr>
            <w:tcW w:w="3550" w:type="pct"/>
            <w:vAlign w:val="center"/>
          </w:tcPr>
          <w:p>
            <w:pPr>
              <w:pStyle w:val="50"/>
              <w:jc w:val="both"/>
            </w:pPr>
            <w:r>
              <w:rPr>
                <w:rFonts w:hint="eastAsia"/>
              </w:rPr>
              <w:t>1、包括并不限于公用配电柜至电梯机房配电箱施工；</w:t>
            </w:r>
          </w:p>
          <w:p>
            <w:pPr>
              <w:pStyle w:val="50"/>
              <w:jc w:val="both"/>
            </w:pPr>
            <w:r>
              <w:rPr>
                <w:rFonts w:hint="eastAsia"/>
              </w:rPr>
              <w:t>2、包括并不限于公各弱电电源柜至所有末端点位的灯具、开关、插座、面板完成；</w:t>
            </w:r>
          </w:p>
          <w:p>
            <w:pPr>
              <w:pStyle w:val="50"/>
              <w:jc w:val="both"/>
            </w:pPr>
            <w:r>
              <w:rPr>
                <w:rFonts w:hint="eastAsia"/>
              </w:rPr>
              <w:t>3、包括并不限于电梯机房用电设备安装完成。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Align w:val="center"/>
          </w:tcPr>
          <w:p>
            <w:pPr>
              <w:pStyle w:val="50"/>
              <w:rPr>
                <w:b/>
              </w:rPr>
            </w:pPr>
            <w:r>
              <w:rPr>
                <w:rFonts w:hint="eastAsia"/>
                <w:b/>
              </w:rPr>
              <w:t>泛光照明</w:t>
            </w:r>
          </w:p>
        </w:tc>
        <w:tc>
          <w:tcPr>
            <w:tcW w:w="1043" w:type="pct"/>
            <w:vAlign w:val="center"/>
          </w:tcPr>
          <w:p>
            <w:pPr>
              <w:pStyle w:val="50"/>
            </w:pPr>
            <w:r>
              <w:rPr>
                <w:rFonts w:hint="eastAsia"/>
              </w:rPr>
              <w:t>/</w:t>
            </w:r>
          </w:p>
        </w:tc>
        <w:tc>
          <w:tcPr>
            <w:tcW w:w="3550" w:type="pct"/>
            <w:vAlign w:val="center"/>
          </w:tcPr>
          <w:p>
            <w:pPr>
              <w:pStyle w:val="50"/>
              <w:jc w:val="both"/>
            </w:pPr>
            <w:r>
              <w:rPr>
                <w:rFonts w:hint="eastAsia"/>
              </w:rPr>
              <w:t>包括并不限于泛光照明系统施工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Align w:val="center"/>
          </w:tcPr>
          <w:p>
            <w:pPr>
              <w:pStyle w:val="50"/>
              <w:rPr>
                <w:b/>
              </w:rPr>
            </w:pPr>
            <w:r>
              <w:rPr>
                <w:rFonts w:hint="eastAsia"/>
                <w:b/>
              </w:rPr>
              <w:t>预留预埋工程</w:t>
            </w:r>
          </w:p>
        </w:tc>
        <w:tc>
          <w:tcPr>
            <w:tcW w:w="1043" w:type="pct"/>
            <w:vAlign w:val="center"/>
          </w:tcPr>
          <w:p>
            <w:pPr>
              <w:pStyle w:val="50"/>
            </w:pPr>
            <w:r>
              <w:rPr>
                <w:rFonts w:hint="eastAsia"/>
              </w:rPr>
              <w:t>/</w:t>
            </w:r>
          </w:p>
        </w:tc>
        <w:tc>
          <w:tcPr>
            <w:tcW w:w="3550" w:type="pct"/>
            <w:vAlign w:val="center"/>
          </w:tcPr>
          <w:p>
            <w:pPr>
              <w:pStyle w:val="50"/>
              <w:jc w:val="both"/>
            </w:pPr>
            <w:r>
              <w:rPr>
                <w:rFonts w:hint="eastAsia"/>
              </w:rPr>
              <w:t>弱电、消防、强电、给排水、空调等随结构主体施工预留预埋管、套管安装，孔洞封堵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Align w:val="center"/>
          </w:tcPr>
          <w:p>
            <w:pPr>
              <w:pStyle w:val="50"/>
              <w:rPr>
                <w:b/>
              </w:rPr>
            </w:pPr>
            <w:r>
              <w:rPr>
                <w:rFonts w:hint="eastAsia"/>
                <w:b/>
              </w:rPr>
              <w:t>信报箱</w:t>
            </w:r>
          </w:p>
        </w:tc>
        <w:tc>
          <w:tcPr>
            <w:tcW w:w="1043" w:type="pct"/>
            <w:vAlign w:val="center"/>
          </w:tcPr>
          <w:p>
            <w:pPr>
              <w:pStyle w:val="50"/>
            </w:pPr>
            <w:r>
              <w:rPr>
                <w:rFonts w:hint="eastAsia"/>
              </w:rPr>
              <w:t>/</w:t>
            </w:r>
          </w:p>
        </w:tc>
        <w:tc>
          <w:tcPr>
            <w:tcW w:w="3550" w:type="pct"/>
            <w:vAlign w:val="center"/>
          </w:tcPr>
          <w:p>
            <w:pPr>
              <w:pStyle w:val="50"/>
              <w:jc w:val="both"/>
            </w:pPr>
            <w:r>
              <w:rPr>
                <w:rFonts w:hint="eastAsia"/>
              </w:rPr>
              <w:t>信报箱安装</w:t>
            </w:r>
          </w:p>
        </w:tc>
      </w:tr>
    </w:tbl>
    <w:p>
      <w:pPr>
        <w:pStyle w:val="49"/>
        <w:spacing w:before="312" w:after="156"/>
        <w:outlineLvl w:val="9"/>
      </w:pPr>
      <w:r>
        <w:rPr>
          <w:rFonts w:hint="eastAsia"/>
        </w:rPr>
        <w:t>盖下施工范围</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622"/>
        <w:gridCol w:w="6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279" w:type="pct"/>
            <w:gridSpan w:val="2"/>
            <w:vAlign w:val="center"/>
          </w:tcPr>
          <w:p>
            <w:pPr>
              <w:pStyle w:val="50"/>
              <w:rPr>
                <w:b/>
              </w:rPr>
            </w:pPr>
            <w:r>
              <w:rPr>
                <w:rFonts w:hint="eastAsia"/>
                <w:b/>
              </w:rPr>
              <w:t>分部分项工程</w:t>
            </w:r>
          </w:p>
        </w:tc>
        <w:tc>
          <w:tcPr>
            <w:tcW w:w="3720" w:type="pct"/>
            <w:vAlign w:val="center"/>
          </w:tcPr>
          <w:p>
            <w:pPr>
              <w:pStyle w:val="50"/>
              <w:rPr>
                <w:b/>
              </w:rPr>
            </w:pPr>
            <w:r>
              <w:rPr>
                <w:rFonts w:hint="eastAsia"/>
                <w:b/>
              </w:rPr>
              <w:t>施工内容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06" w:type="pct"/>
            <w:vMerge w:val="restart"/>
            <w:vAlign w:val="center"/>
          </w:tcPr>
          <w:p>
            <w:pPr>
              <w:pStyle w:val="50"/>
              <w:rPr>
                <w:b/>
              </w:rPr>
            </w:pPr>
            <w:r>
              <w:rPr>
                <w:rFonts w:hint="eastAsia"/>
                <w:b/>
              </w:rPr>
              <w:t>给水系统</w:t>
            </w:r>
          </w:p>
        </w:tc>
        <w:tc>
          <w:tcPr>
            <w:tcW w:w="873" w:type="pct"/>
            <w:vAlign w:val="center"/>
          </w:tcPr>
          <w:p>
            <w:pPr>
              <w:pStyle w:val="50"/>
            </w:pPr>
            <w:r>
              <w:rPr>
                <w:rFonts w:hint="eastAsia"/>
              </w:rPr>
              <w:t>室外给水管</w:t>
            </w:r>
          </w:p>
        </w:tc>
        <w:tc>
          <w:tcPr>
            <w:tcW w:w="3720" w:type="pct"/>
            <w:vAlign w:val="center"/>
          </w:tcPr>
          <w:p>
            <w:pPr>
              <w:pStyle w:val="50"/>
              <w:jc w:val="both"/>
            </w:pPr>
            <w:r>
              <w:rPr>
                <w:rFonts w:hint="eastAsia"/>
              </w:rPr>
              <w:t>包括并不限于由市政接驳口至总水表的管道、管井施工；总水表至生活水泵房的管道完成。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06" w:type="pct"/>
            <w:vMerge w:val="continue"/>
            <w:vAlign w:val="center"/>
          </w:tcPr>
          <w:p>
            <w:pPr>
              <w:pStyle w:val="50"/>
              <w:rPr>
                <w:b/>
              </w:rPr>
            </w:pPr>
          </w:p>
        </w:tc>
        <w:tc>
          <w:tcPr>
            <w:tcW w:w="873" w:type="pct"/>
            <w:vAlign w:val="center"/>
          </w:tcPr>
          <w:p>
            <w:pPr>
              <w:pStyle w:val="50"/>
            </w:pPr>
            <w:r>
              <w:rPr>
                <w:rFonts w:hint="eastAsia"/>
              </w:rPr>
              <w:t>给水泵房</w:t>
            </w:r>
          </w:p>
        </w:tc>
        <w:tc>
          <w:tcPr>
            <w:tcW w:w="3720" w:type="pct"/>
            <w:vAlign w:val="center"/>
          </w:tcPr>
          <w:p>
            <w:pPr>
              <w:pStyle w:val="50"/>
              <w:jc w:val="both"/>
            </w:pPr>
            <w:r>
              <w:rPr>
                <w:rFonts w:hint="eastAsia"/>
              </w:rPr>
              <w:t>1、包括并不限于泵房内基础完成，粗装修完成；</w:t>
            </w:r>
          </w:p>
          <w:p>
            <w:pPr>
              <w:pStyle w:val="50"/>
              <w:jc w:val="both"/>
            </w:pPr>
            <w:r>
              <w:rPr>
                <w:rFonts w:hint="eastAsia"/>
              </w:rPr>
              <w:t>2、包括并不限于不锈钢生活水箱供应及安装完成；</w:t>
            </w:r>
          </w:p>
          <w:p>
            <w:pPr>
              <w:pStyle w:val="50"/>
              <w:jc w:val="both"/>
            </w:pPr>
            <w:r>
              <w:rPr>
                <w:rFonts w:hint="eastAsia"/>
              </w:rPr>
              <w:t>3、包括并不限于生活水泵、水质处理设备供应及安装完成；</w:t>
            </w:r>
          </w:p>
          <w:p>
            <w:pPr>
              <w:pStyle w:val="50"/>
              <w:jc w:val="both"/>
            </w:pPr>
            <w:r>
              <w:rPr>
                <w:rFonts w:hint="eastAsia"/>
              </w:rPr>
              <w:t>4、包括并不限于水泵房内照明、排水系统完成。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6" w:type="pct"/>
            <w:vMerge w:val="continue"/>
            <w:vAlign w:val="center"/>
          </w:tcPr>
          <w:p>
            <w:pPr>
              <w:pStyle w:val="50"/>
              <w:rPr>
                <w:b/>
              </w:rPr>
            </w:pPr>
          </w:p>
        </w:tc>
        <w:tc>
          <w:tcPr>
            <w:tcW w:w="873" w:type="pct"/>
            <w:vAlign w:val="center"/>
          </w:tcPr>
          <w:p>
            <w:pPr>
              <w:pStyle w:val="50"/>
            </w:pPr>
            <w:r>
              <w:rPr>
                <w:rFonts w:hint="eastAsia"/>
              </w:rPr>
              <w:t>公区给水管道</w:t>
            </w:r>
          </w:p>
        </w:tc>
        <w:tc>
          <w:tcPr>
            <w:tcW w:w="3720" w:type="pct"/>
            <w:vAlign w:val="center"/>
          </w:tcPr>
          <w:p>
            <w:pPr>
              <w:pStyle w:val="50"/>
              <w:jc w:val="both"/>
            </w:pPr>
            <w:r>
              <w:rPr>
                <w:rFonts w:hint="eastAsia"/>
              </w:rPr>
              <w:t>包括并不限于生活水泵房给水管经2.4米站台层及盖板四角管井接至上盖。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406" w:type="pct"/>
            <w:vMerge w:val="restart"/>
            <w:vAlign w:val="center"/>
          </w:tcPr>
          <w:p>
            <w:pPr>
              <w:pStyle w:val="50"/>
              <w:rPr>
                <w:b/>
              </w:rPr>
            </w:pPr>
            <w:r>
              <w:rPr>
                <w:rFonts w:hint="eastAsia"/>
                <w:b/>
              </w:rPr>
              <w:t>消防水系统</w:t>
            </w:r>
          </w:p>
        </w:tc>
        <w:tc>
          <w:tcPr>
            <w:tcW w:w="873" w:type="pct"/>
            <w:vAlign w:val="center"/>
          </w:tcPr>
          <w:p>
            <w:pPr>
              <w:pStyle w:val="50"/>
            </w:pPr>
            <w:r>
              <w:rPr>
                <w:rFonts w:hint="eastAsia"/>
              </w:rPr>
              <w:t>室外消防水管</w:t>
            </w:r>
          </w:p>
        </w:tc>
        <w:tc>
          <w:tcPr>
            <w:tcW w:w="3720" w:type="pct"/>
            <w:vAlign w:val="center"/>
          </w:tcPr>
          <w:p>
            <w:pPr>
              <w:pStyle w:val="50"/>
              <w:jc w:val="both"/>
            </w:pPr>
            <w:r>
              <w:rPr>
                <w:rFonts w:hint="eastAsia"/>
              </w:rPr>
              <w:t>包括并不限于由市政接驳口至总水表的消防管道、管井施工；总水表至消防水泵房的管道完成。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406" w:type="pct"/>
            <w:vMerge w:val="continue"/>
            <w:vAlign w:val="center"/>
          </w:tcPr>
          <w:p>
            <w:pPr>
              <w:pStyle w:val="50"/>
              <w:rPr>
                <w:b/>
              </w:rPr>
            </w:pPr>
          </w:p>
        </w:tc>
        <w:tc>
          <w:tcPr>
            <w:tcW w:w="873" w:type="pct"/>
            <w:vAlign w:val="center"/>
          </w:tcPr>
          <w:p>
            <w:pPr>
              <w:pStyle w:val="50"/>
            </w:pPr>
            <w:r>
              <w:rPr>
                <w:rFonts w:hint="eastAsia"/>
              </w:rPr>
              <w:t>消防泵房</w:t>
            </w:r>
          </w:p>
        </w:tc>
        <w:tc>
          <w:tcPr>
            <w:tcW w:w="3720" w:type="pct"/>
            <w:vAlign w:val="center"/>
          </w:tcPr>
          <w:p>
            <w:pPr>
              <w:pStyle w:val="50"/>
              <w:jc w:val="both"/>
            </w:pPr>
            <w:r>
              <w:rPr>
                <w:rFonts w:hint="eastAsia"/>
              </w:rPr>
              <w:t>1、包括并不限于消防泵房内所有与消防水系统运行相关的设备、电控系统完成；</w:t>
            </w:r>
          </w:p>
          <w:p>
            <w:pPr>
              <w:pStyle w:val="50"/>
              <w:jc w:val="both"/>
            </w:pPr>
            <w:r>
              <w:rPr>
                <w:rFonts w:hint="eastAsia"/>
              </w:rPr>
              <w:t>2、包括并不限于消防泵房设备基础，泵房内照明、排水沟、排水管道、压力排水系统（若有）、动力电源完成；</w:t>
            </w:r>
          </w:p>
          <w:p>
            <w:pPr>
              <w:pStyle w:val="50"/>
              <w:jc w:val="both"/>
            </w:pPr>
            <w:r>
              <w:rPr>
                <w:rFonts w:hint="eastAsia"/>
              </w:rPr>
              <w:t>3、包括并不限于消防泵房内消防水池完成，泵房粗装修完成。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406" w:type="pct"/>
            <w:vMerge w:val="continue"/>
            <w:vAlign w:val="center"/>
          </w:tcPr>
          <w:p>
            <w:pPr>
              <w:pStyle w:val="50"/>
              <w:rPr>
                <w:b/>
              </w:rPr>
            </w:pPr>
          </w:p>
        </w:tc>
        <w:tc>
          <w:tcPr>
            <w:tcW w:w="873" w:type="pct"/>
            <w:vAlign w:val="center"/>
          </w:tcPr>
          <w:p>
            <w:pPr>
              <w:pStyle w:val="50"/>
            </w:pPr>
            <w:r>
              <w:rPr>
                <w:rFonts w:hint="eastAsia"/>
              </w:rPr>
              <w:t>公区消防管道</w:t>
            </w:r>
          </w:p>
        </w:tc>
        <w:tc>
          <w:tcPr>
            <w:tcW w:w="3720" w:type="pct"/>
            <w:vAlign w:val="center"/>
          </w:tcPr>
          <w:p>
            <w:pPr>
              <w:pStyle w:val="50"/>
              <w:jc w:val="both"/>
            </w:pPr>
            <w:r>
              <w:rPr>
                <w:rFonts w:hint="eastAsia"/>
              </w:rPr>
              <w:t>包括并不限于消防水泵房喷淋、消火栓给水管经2.4米站台层及盖板四角管井接至上盖。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Align w:val="center"/>
          </w:tcPr>
          <w:p>
            <w:pPr>
              <w:pStyle w:val="50"/>
              <w:rPr>
                <w:b/>
              </w:rPr>
            </w:pPr>
            <w:r>
              <w:rPr>
                <w:rFonts w:hint="eastAsia"/>
                <w:b/>
              </w:rPr>
              <w:t>排水系统</w:t>
            </w:r>
          </w:p>
        </w:tc>
        <w:tc>
          <w:tcPr>
            <w:tcW w:w="873" w:type="pct"/>
          </w:tcPr>
          <w:p>
            <w:pPr>
              <w:pStyle w:val="50"/>
            </w:pPr>
            <w:r>
              <w:rPr>
                <w:rFonts w:hint="eastAsia"/>
              </w:rPr>
              <w:t>/</w:t>
            </w:r>
          </w:p>
        </w:tc>
        <w:tc>
          <w:tcPr>
            <w:tcW w:w="3720" w:type="pct"/>
            <w:vAlign w:val="center"/>
          </w:tcPr>
          <w:p>
            <w:pPr>
              <w:pStyle w:val="50"/>
              <w:jc w:val="both"/>
            </w:pPr>
            <w:r>
              <w:rPr>
                <w:rFonts w:hint="eastAsia"/>
              </w:rPr>
              <w:t>1、包括并不限于18.3米板下虹吸雨水水平支管汇集至主管后沿站房最外层柱子排至股道沟；</w:t>
            </w:r>
          </w:p>
          <w:p>
            <w:pPr>
              <w:pStyle w:val="50"/>
              <w:numPr>
                <w:ilvl w:val="0"/>
                <w:numId w:val="3"/>
              </w:numPr>
              <w:jc w:val="both"/>
            </w:pPr>
            <w:r>
              <w:rPr>
                <w:rFonts w:hint="eastAsia"/>
              </w:rPr>
              <w:t>包括并不限于盖板上重力雨水、污水经四角管井排至大市政管网；</w:t>
            </w:r>
          </w:p>
          <w:p>
            <w:pPr>
              <w:pStyle w:val="50"/>
              <w:numPr>
                <w:ilvl w:val="0"/>
                <w:numId w:val="3"/>
              </w:numPr>
              <w:jc w:val="both"/>
            </w:pPr>
            <w:r>
              <w:rPr>
                <w:rFonts w:hint="eastAsia"/>
              </w:rPr>
              <w:t>包括并不限于隔油池及附属设备完成；</w:t>
            </w:r>
          </w:p>
          <w:p>
            <w:pPr>
              <w:pStyle w:val="50"/>
              <w:numPr>
                <w:ilvl w:val="0"/>
                <w:numId w:val="3"/>
              </w:numPr>
              <w:jc w:val="both"/>
            </w:pPr>
            <w:r>
              <w:rPr>
                <w:rFonts w:hint="eastAsia"/>
              </w:rPr>
              <w:t>包括并不限于压力排水系统完成。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Align w:val="center"/>
          </w:tcPr>
          <w:p>
            <w:pPr>
              <w:pStyle w:val="50"/>
              <w:rPr>
                <w:b/>
              </w:rPr>
            </w:pPr>
            <w:r>
              <w:rPr>
                <w:rFonts w:hint="eastAsia"/>
                <w:b/>
              </w:rPr>
              <w:t>消防系统</w:t>
            </w:r>
          </w:p>
        </w:tc>
        <w:tc>
          <w:tcPr>
            <w:tcW w:w="873" w:type="pct"/>
          </w:tcPr>
          <w:p>
            <w:pPr>
              <w:pStyle w:val="50"/>
            </w:pPr>
            <w:r>
              <w:rPr>
                <w:rFonts w:hint="eastAsia"/>
              </w:rPr>
              <w:t>/</w:t>
            </w:r>
          </w:p>
        </w:tc>
        <w:tc>
          <w:tcPr>
            <w:tcW w:w="3720" w:type="pct"/>
            <w:vAlign w:val="center"/>
          </w:tcPr>
          <w:p>
            <w:pPr>
              <w:pStyle w:val="50"/>
              <w:jc w:val="both"/>
            </w:pPr>
            <w:r>
              <w:rPr>
                <w:rFonts w:hint="eastAsia"/>
              </w:rPr>
              <w:t>包括并不限于高低压配电房、消防水泵房、生活水泵房送排风及防排烟系统、消防火灾报警系统、气体灭火系统施工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9" w:hRule="atLeast"/>
          <w:jc w:val="center"/>
        </w:trPr>
        <w:tc>
          <w:tcPr>
            <w:tcW w:w="406" w:type="pct"/>
            <w:vAlign w:val="center"/>
          </w:tcPr>
          <w:p>
            <w:pPr>
              <w:pStyle w:val="50"/>
              <w:rPr>
                <w:b/>
              </w:rPr>
            </w:pPr>
            <w:r>
              <w:rPr>
                <w:rFonts w:hint="eastAsia"/>
                <w:b/>
              </w:rPr>
              <w:t>10米层</w:t>
            </w:r>
            <w:r>
              <w:rPr>
                <w:b/>
              </w:rPr>
              <w:t>高低压配电房</w:t>
            </w:r>
          </w:p>
        </w:tc>
        <w:tc>
          <w:tcPr>
            <w:tcW w:w="873" w:type="pct"/>
            <w:vAlign w:val="center"/>
          </w:tcPr>
          <w:p>
            <w:pPr>
              <w:pStyle w:val="50"/>
            </w:pPr>
            <w:r>
              <w:rPr>
                <w:rFonts w:hint="eastAsia"/>
              </w:rPr>
              <w:t>高低压配电房设备安装</w:t>
            </w:r>
          </w:p>
        </w:tc>
        <w:tc>
          <w:tcPr>
            <w:tcW w:w="3720" w:type="pct"/>
            <w:vAlign w:val="center"/>
          </w:tcPr>
          <w:p>
            <w:pPr>
              <w:pStyle w:val="50"/>
              <w:jc w:val="both"/>
            </w:pPr>
            <w:r>
              <w:rPr>
                <w:rFonts w:hint="eastAsia"/>
              </w:rPr>
              <w:t>1、包括并不限于变压器、高低压配电柜、电力监控系统等供配电设施，高低压柜之间电缆的敷设，高压电缆供应、敷设、调试及通过供电局验收；</w:t>
            </w:r>
          </w:p>
          <w:p>
            <w:pPr>
              <w:pStyle w:val="50"/>
              <w:jc w:val="left"/>
            </w:pPr>
            <w:r>
              <w:rPr>
                <w:rFonts w:hint="eastAsia"/>
              </w:rPr>
              <w:t>2、包括并不限于设备房内照明、开关、插座施工</w:t>
            </w:r>
          </w:p>
          <w:p>
            <w:pPr>
              <w:pStyle w:val="50"/>
              <w:jc w:val="left"/>
            </w:pPr>
            <w:r>
              <w:rPr>
                <w:rFonts w:hint="eastAsia"/>
              </w:rPr>
              <w:t>3、高低压配电房粗装修、地面地坪漆（具体以供电局要求为准）</w:t>
            </w:r>
          </w:p>
          <w:p>
            <w:pPr>
              <w:pStyle w:val="50"/>
              <w:jc w:val="left"/>
            </w:pPr>
            <w:r>
              <w:rPr>
                <w:rFonts w:hint="eastAsia"/>
              </w:rPr>
              <w:t>4、包括配合消防、供电验收时防火门的安拆、钢制门的安装。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Align w:val="center"/>
          </w:tcPr>
          <w:p>
            <w:pPr>
              <w:pStyle w:val="50"/>
              <w:rPr>
                <w:b/>
              </w:rPr>
            </w:pPr>
            <w:r>
              <w:rPr>
                <w:b/>
              </w:rPr>
              <w:t>配电系统</w:t>
            </w:r>
          </w:p>
        </w:tc>
        <w:tc>
          <w:tcPr>
            <w:tcW w:w="873" w:type="pct"/>
            <w:vAlign w:val="center"/>
          </w:tcPr>
          <w:p>
            <w:pPr>
              <w:pStyle w:val="50"/>
            </w:pPr>
            <w:r>
              <w:rPr>
                <w:rFonts w:hint="eastAsia"/>
              </w:rPr>
              <w:t>配电干线系统</w:t>
            </w:r>
          </w:p>
        </w:tc>
        <w:tc>
          <w:tcPr>
            <w:tcW w:w="3720" w:type="pct"/>
            <w:vAlign w:val="center"/>
          </w:tcPr>
          <w:p>
            <w:pPr>
              <w:pStyle w:val="50"/>
              <w:jc w:val="both"/>
            </w:pPr>
            <w:r>
              <w:rPr>
                <w:rFonts w:hint="eastAsia"/>
              </w:rPr>
              <w:t>包括并不限于盖板下市政电接入工程（从变电站接出，包含土建管廊及高压电缆）、配电干线系统、照明系统、动力通风系统、动力排水排污系统、动力给水系统供电施工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Align w:val="center"/>
          </w:tcPr>
          <w:p>
            <w:pPr>
              <w:pStyle w:val="50"/>
              <w:rPr>
                <w:b/>
              </w:rPr>
            </w:pPr>
            <w:r>
              <w:rPr>
                <w:b/>
              </w:rPr>
              <w:t>设备机房</w:t>
            </w:r>
          </w:p>
        </w:tc>
        <w:tc>
          <w:tcPr>
            <w:tcW w:w="873" w:type="pct"/>
            <w:vAlign w:val="center"/>
          </w:tcPr>
          <w:p>
            <w:pPr>
              <w:pStyle w:val="50"/>
            </w:pPr>
            <w:r>
              <w:rPr>
                <w:rFonts w:hint="eastAsia"/>
              </w:rPr>
              <w:t>/</w:t>
            </w:r>
          </w:p>
        </w:tc>
        <w:tc>
          <w:tcPr>
            <w:tcW w:w="3720" w:type="pct"/>
            <w:vAlign w:val="center"/>
          </w:tcPr>
          <w:p>
            <w:pPr>
              <w:pStyle w:val="50"/>
              <w:jc w:val="both"/>
            </w:pPr>
            <w:r>
              <w:rPr>
                <w:rFonts w:hint="eastAsia"/>
              </w:rPr>
              <w:t>包括并不限于生活水泵房、消防泵房设备安装及接地施工，设备电源的配管、配线、与强电电源柜接驳完成，设备房内照明、开关、插座施工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Align w:val="center"/>
          </w:tcPr>
          <w:p>
            <w:pPr>
              <w:pStyle w:val="50"/>
              <w:rPr>
                <w:b/>
              </w:rPr>
            </w:pPr>
            <w:r>
              <w:rPr>
                <w:rFonts w:hint="eastAsia"/>
                <w:b/>
              </w:rPr>
              <w:t>弱电工程</w:t>
            </w:r>
          </w:p>
        </w:tc>
        <w:tc>
          <w:tcPr>
            <w:tcW w:w="873" w:type="pct"/>
            <w:vAlign w:val="center"/>
          </w:tcPr>
          <w:p>
            <w:pPr>
              <w:pStyle w:val="50"/>
            </w:pPr>
            <w:r>
              <w:rPr>
                <w:rFonts w:hint="eastAsia"/>
              </w:rPr>
              <w:t>/</w:t>
            </w:r>
          </w:p>
        </w:tc>
        <w:tc>
          <w:tcPr>
            <w:tcW w:w="3720" w:type="pct"/>
            <w:vAlign w:val="center"/>
          </w:tcPr>
          <w:p>
            <w:pPr>
              <w:pStyle w:val="50"/>
              <w:jc w:val="both"/>
            </w:pPr>
            <w:r>
              <w:rPr>
                <w:rFonts w:hint="eastAsia"/>
              </w:rPr>
              <w:t>包括并不限于弱电管线从站房通信机房接出，经盖板四角电管井接至上盖各楼栋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6" w:type="pct"/>
            <w:vAlign w:val="center"/>
          </w:tcPr>
          <w:p>
            <w:pPr>
              <w:pStyle w:val="50"/>
              <w:rPr>
                <w:b/>
              </w:rPr>
            </w:pPr>
            <w:r>
              <w:rPr>
                <w:rFonts w:hint="eastAsia"/>
                <w:b/>
              </w:rPr>
              <w:t>预留预埋工程</w:t>
            </w:r>
          </w:p>
        </w:tc>
        <w:tc>
          <w:tcPr>
            <w:tcW w:w="873" w:type="pct"/>
            <w:vAlign w:val="center"/>
          </w:tcPr>
          <w:p>
            <w:pPr>
              <w:pStyle w:val="50"/>
            </w:pPr>
            <w:r>
              <w:rPr>
                <w:rFonts w:hint="eastAsia"/>
              </w:rPr>
              <w:t>/</w:t>
            </w:r>
          </w:p>
        </w:tc>
        <w:tc>
          <w:tcPr>
            <w:tcW w:w="3720" w:type="pct"/>
            <w:vAlign w:val="center"/>
          </w:tcPr>
          <w:p>
            <w:pPr>
              <w:pStyle w:val="50"/>
              <w:jc w:val="both"/>
            </w:pPr>
            <w:r>
              <w:rPr>
                <w:rFonts w:hint="eastAsia"/>
              </w:rPr>
              <w:t>弱电、消防、强电、通风等机电安装系统随结构主体施工预留预埋管、套管安装，孔洞封堵</w:t>
            </w:r>
          </w:p>
        </w:tc>
      </w:tr>
    </w:tbl>
    <w:p>
      <w:pPr>
        <w:spacing w:line="276" w:lineRule="auto"/>
        <w:ind w:firstLine="420" w:firstLineChars="200"/>
        <w:rPr>
          <w:rFonts w:ascii="宋体" w:hAnsi="宋体"/>
        </w:rPr>
      </w:pPr>
    </w:p>
    <w:p>
      <w:pPr>
        <w:pStyle w:val="2"/>
        <w:spacing w:before="0" w:after="0" w:line="276" w:lineRule="auto"/>
        <w:rPr>
          <w:rFonts w:ascii="宋体" w:hAnsi="宋体"/>
          <w:sz w:val="28"/>
          <w:szCs w:val="28"/>
        </w:rPr>
      </w:pPr>
      <w:bookmarkStart w:id="120" w:name="_Toc144459632"/>
      <w:bookmarkStart w:id="121" w:name="_Toc405535542"/>
      <w:r>
        <w:rPr>
          <w:rFonts w:hint="eastAsia" w:ascii="宋体" w:hAnsi="宋体"/>
          <w:sz w:val="28"/>
          <w:szCs w:val="28"/>
        </w:rPr>
        <w:t>6.  材料供应（采购）方式</w:t>
      </w:r>
      <w:bookmarkEnd w:id="120"/>
      <w:bookmarkEnd w:id="121"/>
    </w:p>
    <w:p>
      <w:pPr>
        <w:spacing w:line="276" w:lineRule="auto"/>
        <w:ind w:firstLine="420" w:firstLineChars="200"/>
        <w:rPr>
          <w:rFonts w:ascii="宋体" w:hAnsi="宋体"/>
        </w:rPr>
      </w:pPr>
      <w:r>
        <w:rPr>
          <w:rFonts w:hint="eastAsia" w:ascii="宋体" w:hAnsi="宋体"/>
        </w:rPr>
        <w:t>现场所有材料、设备均委托承包人自行采购。</w:t>
      </w:r>
    </w:p>
    <w:p>
      <w:pPr>
        <w:pStyle w:val="3"/>
        <w:spacing w:before="0" w:after="0" w:line="276" w:lineRule="auto"/>
        <w:ind w:firstLine="413" w:firstLineChars="196"/>
        <w:rPr>
          <w:rFonts w:ascii="宋体" w:hAnsi="宋体"/>
        </w:rPr>
      </w:pPr>
      <w:bookmarkStart w:id="122" w:name="_Toc404603806"/>
      <w:bookmarkStart w:id="123" w:name="_Toc405535546"/>
      <w:bookmarkStart w:id="124" w:name="_Toc144459633"/>
      <w:bookmarkStart w:id="125" w:name="_Toc404565104"/>
      <w:r>
        <w:rPr>
          <w:rFonts w:ascii="宋体" w:hAnsi="宋体"/>
          <w:sz w:val="21"/>
          <w:szCs w:val="21"/>
        </w:rPr>
        <w:t xml:space="preserve">6.1  </w:t>
      </w:r>
      <w:r>
        <w:rPr>
          <w:rFonts w:hint="eastAsia" w:ascii="宋体" w:hAnsi="宋体"/>
          <w:sz w:val="21"/>
          <w:szCs w:val="21"/>
        </w:rPr>
        <w:t>技术要求</w:t>
      </w:r>
      <w:bookmarkEnd w:id="122"/>
      <w:bookmarkEnd w:id="123"/>
      <w:bookmarkEnd w:id="124"/>
      <w:bookmarkEnd w:id="125"/>
    </w:p>
    <w:p>
      <w:pPr>
        <w:spacing w:line="276" w:lineRule="auto"/>
        <w:ind w:firstLine="420" w:firstLineChars="200"/>
        <w:rPr>
          <w:rFonts w:ascii="宋体" w:hAnsi="宋体"/>
        </w:rPr>
      </w:pPr>
      <w:r>
        <w:rPr>
          <w:rFonts w:hint="eastAsia" w:ascii="宋体" w:hAnsi="宋体"/>
        </w:rPr>
        <w:t>品牌要求见本合同附件2。承包人自行采购的材料设备，必须达到国家相关规范标准，并符合设计要求的相关技术参数性能。在本工程投标报价时，须同时报备材料设备的选用品牌（厂家）范围，作为工程实施过程中的材料选用依据。</w:t>
      </w:r>
    </w:p>
    <w:p>
      <w:pPr>
        <w:spacing w:line="276" w:lineRule="auto"/>
        <w:ind w:firstLine="420" w:firstLineChars="200"/>
        <w:rPr>
          <w:rFonts w:ascii="宋体" w:hAnsi="宋体"/>
        </w:rPr>
      </w:pPr>
      <w:r>
        <w:rPr>
          <w:rFonts w:hint="eastAsia" w:ascii="宋体" w:hAnsi="宋体"/>
        </w:rPr>
        <w:t>承包人自行采购的材料设备，承包人应在投标时对该材料设备的性能与价格有充分的调查，一旦确定报价，在工程实施过程中，不得以任何对该材料设备性能及相应价格不了解为借口，提出更换材料设备型号或价格变更要求。</w:t>
      </w:r>
    </w:p>
    <w:p>
      <w:pPr>
        <w:pStyle w:val="3"/>
        <w:spacing w:before="0" w:after="0" w:line="276" w:lineRule="auto"/>
        <w:ind w:firstLine="413" w:firstLineChars="196"/>
        <w:rPr>
          <w:rFonts w:ascii="宋体" w:hAnsi="宋体"/>
        </w:rPr>
      </w:pPr>
      <w:bookmarkStart w:id="126" w:name="_Toc144459634"/>
      <w:bookmarkStart w:id="127" w:name="_Toc404565105"/>
      <w:bookmarkStart w:id="128" w:name="_Toc405535547"/>
      <w:bookmarkStart w:id="129" w:name="_Toc404603807"/>
      <w:r>
        <w:rPr>
          <w:rFonts w:ascii="宋体" w:hAnsi="宋体"/>
          <w:sz w:val="21"/>
          <w:szCs w:val="21"/>
        </w:rPr>
        <w:t xml:space="preserve">6.2  </w:t>
      </w:r>
      <w:r>
        <w:rPr>
          <w:rFonts w:hint="eastAsia" w:ascii="宋体" w:hAnsi="宋体"/>
          <w:sz w:val="21"/>
          <w:szCs w:val="21"/>
        </w:rPr>
        <w:t>质量要求</w:t>
      </w:r>
      <w:bookmarkEnd w:id="126"/>
      <w:bookmarkEnd w:id="127"/>
      <w:bookmarkEnd w:id="128"/>
      <w:bookmarkEnd w:id="129"/>
    </w:p>
    <w:p>
      <w:pPr>
        <w:spacing w:line="276" w:lineRule="auto"/>
        <w:ind w:firstLine="420" w:firstLineChars="200"/>
        <w:rPr>
          <w:rFonts w:ascii="宋体" w:hAnsi="宋体"/>
        </w:rPr>
      </w:pPr>
      <w:r>
        <w:rPr>
          <w:rFonts w:hint="eastAsia" w:ascii="宋体" w:hAnsi="宋体"/>
        </w:rPr>
        <w:t>承包人采购材料（设备）进场必须有质保书、相关试验证明材料，并按规范要求进行抽样复试，监理全程旁站，相关检测费用已包含在投标报价中。</w:t>
      </w:r>
    </w:p>
    <w:p>
      <w:pPr>
        <w:spacing w:line="276" w:lineRule="auto"/>
        <w:ind w:firstLine="420" w:firstLineChars="200"/>
        <w:rPr>
          <w:rFonts w:ascii="宋体" w:hAnsi="宋体"/>
        </w:rPr>
      </w:pPr>
      <w:r>
        <w:rPr>
          <w:rFonts w:hint="eastAsia" w:ascii="宋体" w:hAnsi="宋体"/>
        </w:rPr>
        <w:t>当材料（设备）检测不合格时，暂停该批材料的使用，按照规范要求重新加倍取样进行复试。如复试合格，材料可以继续使用；当复试不合格，该批材料（设备）必须全部退场，已施工材料全部拆除，由此引起的全部损失由承包人承担。</w:t>
      </w:r>
    </w:p>
    <w:p>
      <w:pPr>
        <w:spacing w:line="276" w:lineRule="auto"/>
        <w:ind w:firstLine="420" w:firstLineChars="200"/>
        <w:rPr>
          <w:rFonts w:ascii="宋体" w:hAnsi="宋体"/>
        </w:rPr>
      </w:pPr>
      <w:r>
        <w:rPr>
          <w:rFonts w:hint="eastAsia" w:ascii="宋体" w:hAnsi="宋体"/>
        </w:rPr>
        <w:t>所有材料须提前进场进行复试检测，待检测合格后，方可正式用于本工程。</w:t>
      </w:r>
    </w:p>
    <w:p>
      <w:pPr>
        <w:pStyle w:val="3"/>
        <w:spacing w:before="0" w:after="0" w:line="276" w:lineRule="auto"/>
        <w:ind w:firstLine="413" w:firstLineChars="196"/>
        <w:rPr>
          <w:rFonts w:ascii="宋体" w:hAnsi="宋体"/>
        </w:rPr>
      </w:pPr>
      <w:bookmarkStart w:id="130" w:name="_Toc144459635"/>
      <w:bookmarkStart w:id="131" w:name="_Toc404565106"/>
      <w:bookmarkStart w:id="132" w:name="_Toc404603808"/>
      <w:bookmarkStart w:id="133" w:name="_Toc405535548"/>
      <w:r>
        <w:rPr>
          <w:rFonts w:ascii="宋体" w:hAnsi="宋体"/>
          <w:sz w:val="21"/>
          <w:szCs w:val="21"/>
        </w:rPr>
        <w:t xml:space="preserve">6.3  </w:t>
      </w:r>
      <w:r>
        <w:rPr>
          <w:rFonts w:hint="eastAsia" w:ascii="宋体" w:hAnsi="宋体"/>
          <w:sz w:val="21"/>
          <w:szCs w:val="21"/>
        </w:rPr>
        <w:t>参考品牌</w:t>
      </w:r>
      <w:bookmarkEnd w:id="130"/>
      <w:bookmarkEnd w:id="131"/>
      <w:bookmarkEnd w:id="132"/>
      <w:bookmarkEnd w:id="133"/>
    </w:p>
    <w:p>
      <w:pPr>
        <w:spacing w:line="276" w:lineRule="auto"/>
        <w:ind w:firstLine="420" w:firstLineChars="200"/>
        <w:rPr>
          <w:rFonts w:ascii="宋体" w:hAnsi="宋体"/>
        </w:rPr>
      </w:pPr>
      <w:r>
        <w:rPr>
          <w:rFonts w:hint="eastAsia" w:ascii="宋体" w:hAnsi="宋体"/>
        </w:rPr>
        <w:t>6.3.1  发包人指定、限定或承包人在投标中确定的材料设备品牌（厂家）一经确认，不得擅自更改。当有客观原因造成不能正常采购该品牌（厂家）材料设备时，承包人须向发包人说明后申请，经发包人同意后可选用市场同等品质的其它品牌（厂家）材料设备，并提供相关证明。</w:t>
      </w:r>
    </w:p>
    <w:p>
      <w:pPr>
        <w:spacing w:line="276" w:lineRule="auto"/>
        <w:ind w:firstLine="420" w:firstLineChars="200"/>
        <w:rPr>
          <w:rFonts w:ascii="宋体" w:hAnsi="宋体"/>
        </w:rPr>
      </w:pPr>
      <w:r>
        <w:rPr>
          <w:rFonts w:hint="eastAsia" w:ascii="宋体" w:hAnsi="宋体"/>
        </w:rPr>
        <w:t>6.3.2  承包人自行采购选用的主材（设备）须事先得到发包人批准后方可使用，发包人有权拒绝使用不符合招标文件规定标准的材料设备。</w:t>
      </w:r>
    </w:p>
    <w:p>
      <w:pPr>
        <w:spacing w:line="276" w:lineRule="auto"/>
        <w:ind w:firstLine="420" w:firstLineChars="200"/>
        <w:rPr>
          <w:rFonts w:ascii="宋体" w:hAnsi="宋体"/>
        </w:rPr>
      </w:pPr>
      <w:r>
        <w:rPr>
          <w:rFonts w:hint="eastAsia" w:ascii="宋体" w:hAnsi="宋体"/>
        </w:rPr>
        <w:t>本工程经发包人同意更改品牌（厂家）的材料设备种类不得多于5家。</w:t>
      </w:r>
    </w:p>
    <w:p>
      <w:pPr>
        <w:spacing w:line="276" w:lineRule="auto"/>
        <w:ind w:firstLine="420" w:firstLineChars="200"/>
        <w:rPr>
          <w:rFonts w:ascii="宋体" w:hAnsi="宋体"/>
        </w:rPr>
      </w:pPr>
      <w:r>
        <w:rPr>
          <w:rFonts w:hint="eastAsia" w:ascii="宋体" w:hAnsi="宋体"/>
        </w:rPr>
        <w:t>6.3.3  相关规范、地方政府部门等规定的材料、系统等检测及相关费用（如保温检测等），相关费用已包含在投标报价中。</w:t>
      </w:r>
    </w:p>
    <w:p>
      <w:pPr>
        <w:pStyle w:val="2"/>
        <w:spacing w:before="0" w:after="0" w:line="276" w:lineRule="auto"/>
        <w:rPr>
          <w:rFonts w:ascii="宋体" w:hAnsi="宋体"/>
          <w:sz w:val="28"/>
          <w:szCs w:val="28"/>
        </w:rPr>
      </w:pPr>
      <w:bookmarkStart w:id="134" w:name="_Toc405535549"/>
      <w:bookmarkStart w:id="135" w:name="_Toc144459636"/>
      <w:r>
        <w:rPr>
          <w:rFonts w:hint="eastAsia" w:ascii="宋体" w:hAnsi="宋体"/>
          <w:sz w:val="28"/>
          <w:szCs w:val="28"/>
        </w:rPr>
        <w:t>7.  承包人管理要求及工程照管配合</w:t>
      </w:r>
      <w:bookmarkEnd w:id="134"/>
      <w:bookmarkEnd w:id="135"/>
    </w:p>
    <w:p>
      <w:pPr>
        <w:pStyle w:val="3"/>
        <w:spacing w:before="0" w:after="0" w:line="276" w:lineRule="auto"/>
        <w:ind w:firstLine="413" w:firstLineChars="196"/>
        <w:rPr>
          <w:rFonts w:ascii="宋体" w:hAnsi="宋体"/>
          <w:sz w:val="21"/>
          <w:szCs w:val="21"/>
        </w:rPr>
      </w:pPr>
      <w:bookmarkStart w:id="136" w:name="_Toc405535550"/>
      <w:bookmarkStart w:id="137" w:name="_Toc144459637"/>
      <w:r>
        <w:rPr>
          <w:rFonts w:hint="eastAsia" w:ascii="宋体" w:hAnsi="宋体"/>
          <w:sz w:val="21"/>
          <w:szCs w:val="21"/>
        </w:rPr>
        <w:t>7.1  承包人管理行为以及配合发包人要求</w:t>
      </w:r>
      <w:bookmarkEnd w:id="136"/>
      <w:bookmarkEnd w:id="137"/>
    </w:p>
    <w:p>
      <w:pPr>
        <w:spacing w:line="276" w:lineRule="auto"/>
        <w:ind w:firstLine="420" w:firstLineChars="200"/>
        <w:rPr>
          <w:rFonts w:ascii="宋体" w:hAnsi="宋体"/>
        </w:rPr>
      </w:pPr>
      <w:bookmarkStart w:id="138" w:name="_Toc404565109"/>
      <w:bookmarkStart w:id="139" w:name="_Toc405535551"/>
      <w:bookmarkStart w:id="140" w:name="_Toc404603811"/>
      <w:r>
        <w:rPr>
          <w:rFonts w:hint="eastAsia" w:ascii="宋体" w:hAnsi="宋体"/>
        </w:rPr>
        <w:t>7.1.1  承包人自身的管理要求</w:t>
      </w:r>
      <w:bookmarkEnd w:id="138"/>
      <w:bookmarkEnd w:id="139"/>
      <w:bookmarkEnd w:id="140"/>
    </w:p>
    <w:p>
      <w:pPr>
        <w:spacing w:line="276" w:lineRule="auto"/>
        <w:ind w:firstLine="420" w:firstLineChars="200"/>
        <w:rPr>
          <w:rFonts w:ascii="宋体" w:hAnsi="宋体"/>
        </w:rPr>
      </w:pPr>
      <w:r>
        <w:rPr>
          <w:rFonts w:hint="eastAsia" w:ascii="宋体" w:hAnsi="宋体"/>
        </w:rPr>
        <w:t>承包人必须按本合同进行施工组织，项目部以下管理人员在所辖工程或分项工程施工期间，均须专职在岗，不得兼任其他项目任何职务；进场前发包人将对项目经理、技术负责人、生产经理、施工员、质检员、水电安装负责人、材料员、预算员等人的姓名、性别、年龄、身份证复印件、照片、学历、职称等有关资料，进行核查。</w:t>
      </w:r>
    </w:p>
    <w:p>
      <w:pPr>
        <w:spacing w:line="276" w:lineRule="auto"/>
        <w:ind w:firstLine="420" w:firstLineChars="200"/>
        <w:rPr>
          <w:rFonts w:ascii="宋体" w:hAnsi="宋体"/>
        </w:rPr>
      </w:pPr>
      <w:bookmarkStart w:id="141" w:name="_Toc405535552"/>
      <w:bookmarkStart w:id="142" w:name="_Toc404565110"/>
      <w:bookmarkStart w:id="143" w:name="_Toc404603812"/>
      <w:r>
        <w:rPr>
          <w:rFonts w:hint="eastAsia" w:ascii="宋体" w:hAnsi="宋体"/>
        </w:rPr>
        <w:t>7.1.2  对发包人要求的配合</w:t>
      </w:r>
      <w:bookmarkEnd w:id="141"/>
      <w:bookmarkEnd w:id="142"/>
      <w:bookmarkEnd w:id="143"/>
    </w:p>
    <w:p>
      <w:pPr>
        <w:spacing w:line="276" w:lineRule="auto"/>
        <w:ind w:firstLine="420" w:firstLineChars="200"/>
        <w:rPr>
          <w:rFonts w:ascii="宋体" w:hAnsi="宋体"/>
        </w:rPr>
      </w:pPr>
      <w:bookmarkStart w:id="144" w:name="_Toc166396012"/>
      <w:bookmarkStart w:id="145" w:name="_Toc167070331"/>
      <w:r>
        <w:rPr>
          <w:rFonts w:hint="eastAsia" w:ascii="宋体" w:hAnsi="宋体"/>
        </w:rPr>
        <w:t>7.1.2.1  样板楼电梯事宜</w:t>
      </w:r>
    </w:p>
    <w:p>
      <w:pPr>
        <w:spacing w:line="276" w:lineRule="auto"/>
        <w:ind w:firstLine="420" w:firstLineChars="200"/>
        <w:rPr>
          <w:rFonts w:ascii="宋体" w:hAnsi="宋体"/>
        </w:rPr>
      </w:pPr>
      <w:r>
        <w:rPr>
          <w:rFonts w:hint="eastAsia" w:ascii="宋体" w:hAnsi="宋体"/>
        </w:rPr>
        <w:t>为满足销售中心及样板房开放要求，在样板楼开通电梯，承包人需配合事宜包括但不限于：</w:t>
      </w:r>
    </w:p>
    <w:p>
      <w:pPr>
        <w:spacing w:line="276" w:lineRule="auto"/>
        <w:ind w:firstLine="420" w:firstLineChars="200"/>
        <w:rPr>
          <w:rFonts w:ascii="宋体" w:hAnsi="宋体"/>
        </w:rPr>
      </w:pPr>
      <w:r>
        <w:rPr>
          <w:rFonts w:hint="eastAsia" w:ascii="宋体" w:hAnsi="宋体"/>
        </w:rPr>
        <w:t>7.1.2.1.</w:t>
      </w:r>
      <w:r>
        <w:rPr>
          <w:rFonts w:ascii="宋体" w:hAnsi="宋体"/>
        </w:rPr>
        <w:t>1</w:t>
      </w:r>
      <w:r>
        <w:rPr>
          <w:rFonts w:hint="eastAsia" w:ascii="宋体" w:hAnsi="宋体"/>
        </w:rPr>
        <w:t xml:space="preserve">  搭建机房时井道内不允许有交叉施工现象；</w:t>
      </w:r>
    </w:p>
    <w:p>
      <w:pPr>
        <w:spacing w:line="276" w:lineRule="auto"/>
        <w:ind w:firstLine="420" w:firstLineChars="200"/>
        <w:rPr>
          <w:rFonts w:ascii="宋体" w:hAnsi="宋体"/>
        </w:rPr>
      </w:pPr>
      <w:r>
        <w:rPr>
          <w:rFonts w:hint="eastAsia" w:ascii="宋体" w:hAnsi="宋体"/>
        </w:rPr>
        <w:t>7.1.2.1.</w:t>
      </w:r>
      <w:r>
        <w:rPr>
          <w:rFonts w:ascii="宋体" w:hAnsi="宋体"/>
        </w:rPr>
        <w:t>2</w:t>
      </w:r>
      <w:r>
        <w:rPr>
          <w:rFonts w:hint="eastAsia" w:ascii="宋体" w:hAnsi="宋体"/>
        </w:rPr>
        <w:t xml:space="preserve">  提供满足电梯要求的不间断电源并接至电梯控制箱，容量30KW，安装专用电表计量； </w:t>
      </w:r>
    </w:p>
    <w:p>
      <w:pPr>
        <w:spacing w:line="276" w:lineRule="auto"/>
        <w:ind w:firstLine="420" w:firstLineChars="200"/>
        <w:rPr>
          <w:rFonts w:ascii="宋体" w:hAnsi="宋体"/>
        </w:rPr>
      </w:pPr>
      <w:r>
        <w:rPr>
          <w:rFonts w:hint="eastAsia" w:ascii="宋体" w:hAnsi="宋体"/>
        </w:rPr>
        <w:t>7.1.2.1.</w:t>
      </w:r>
      <w:r>
        <w:rPr>
          <w:rFonts w:ascii="宋体" w:hAnsi="宋体"/>
        </w:rPr>
        <w:t>3</w:t>
      </w:r>
      <w:r>
        <w:rPr>
          <w:rFonts w:hint="eastAsia" w:ascii="宋体" w:hAnsi="宋体"/>
        </w:rPr>
        <w:t xml:space="preserve">  负责五方通话线到机房的电梯控制屏；</w:t>
      </w:r>
    </w:p>
    <w:p>
      <w:pPr>
        <w:spacing w:line="276" w:lineRule="auto"/>
        <w:ind w:firstLine="420" w:firstLineChars="200"/>
        <w:rPr>
          <w:rFonts w:ascii="宋体" w:hAnsi="宋体"/>
        </w:rPr>
      </w:pPr>
      <w:r>
        <w:rPr>
          <w:rFonts w:hint="eastAsia" w:ascii="宋体" w:hAnsi="宋体"/>
        </w:rPr>
        <w:t>7.1.2.1.</w:t>
      </w:r>
      <w:r>
        <w:rPr>
          <w:rFonts w:ascii="宋体" w:hAnsi="宋体"/>
        </w:rPr>
        <w:t>4</w:t>
      </w:r>
      <w:r>
        <w:rPr>
          <w:rFonts w:hint="eastAsia" w:ascii="宋体" w:hAnsi="宋体"/>
        </w:rPr>
        <w:t xml:space="preserve">  待防水分</w:t>
      </w:r>
      <w:r>
        <w:rPr>
          <w:rFonts w:hint="eastAsia" w:ascii="宋体" w:hAnsi="宋体"/>
          <w:kern w:val="0"/>
        </w:rPr>
        <w:t>包人</w:t>
      </w:r>
      <w:r>
        <w:rPr>
          <w:rFonts w:hint="eastAsia" w:ascii="宋体" w:hAnsi="宋体"/>
        </w:rPr>
        <w:t>将底坑防水做好后，集水坑里安装水泵，保证电梯正常运行；</w:t>
      </w:r>
    </w:p>
    <w:p>
      <w:pPr>
        <w:spacing w:line="276" w:lineRule="auto"/>
        <w:ind w:firstLine="420" w:firstLineChars="200"/>
        <w:rPr>
          <w:rFonts w:ascii="宋体" w:hAnsi="宋体"/>
        </w:rPr>
      </w:pPr>
      <w:r>
        <w:rPr>
          <w:rFonts w:hint="eastAsia" w:ascii="宋体" w:hAnsi="宋体"/>
        </w:rPr>
        <w:t>7.1.2.1.</w:t>
      </w:r>
      <w:r>
        <w:rPr>
          <w:rFonts w:ascii="宋体" w:hAnsi="宋体"/>
        </w:rPr>
        <w:t>5</w:t>
      </w:r>
      <w:r>
        <w:rPr>
          <w:rFonts w:hint="eastAsia" w:ascii="宋体" w:hAnsi="宋体"/>
        </w:rPr>
        <w:t xml:space="preserve">  按照发包人要求，提供满足电梯安装的条件；</w:t>
      </w:r>
    </w:p>
    <w:p>
      <w:pPr>
        <w:spacing w:line="276" w:lineRule="auto"/>
        <w:ind w:firstLine="420" w:firstLineChars="200"/>
        <w:rPr>
          <w:rFonts w:ascii="宋体" w:hAnsi="宋体"/>
        </w:rPr>
      </w:pPr>
      <w:r>
        <w:rPr>
          <w:rFonts w:hint="eastAsia" w:ascii="宋体" w:hAnsi="宋体"/>
        </w:rPr>
        <w:t>7.1.2.1.</w:t>
      </w:r>
      <w:r>
        <w:rPr>
          <w:rFonts w:ascii="宋体" w:hAnsi="宋体"/>
        </w:rPr>
        <w:t>6</w:t>
      </w:r>
      <w:r>
        <w:rPr>
          <w:rFonts w:hint="eastAsia" w:ascii="宋体" w:hAnsi="宋体"/>
        </w:rPr>
        <w:t xml:space="preserve">  与电梯安装有关的所有项目（砌筑灰等）需施工完毕，达到正式电梯施工标准；</w:t>
      </w:r>
    </w:p>
    <w:p>
      <w:pPr>
        <w:spacing w:line="276" w:lineRule="auto"/>
        <w:ind w:firstLine="420" w:firstLineChars="200"/>
        <w:rPr>
          <w:rFonts w:ascii="宋体" w:hAnsi="宋体"/>
        </w:rPr>
      </w:pPr>
      <w:r>
        <w:rPr>
          <w:rFonts w:hint="eastAsia" w:ascii="宋体" w:hAnsi="宋体"/>
        </w:rPr>
        <w:t>7.1.2.1.</w:t>
      </w:r>
      <w:r>
        <w:rPr>
          <w:rFonts w:ascii="宋体" w:hAnsi="宋体"/>
        </w:rPr>
        <w:t>7</w:t>
      </w:r>
      <w:r>
        <w:rPr>
          <w:rFonts w:hint="eastAsia" w:ascii="宋体" w:hAnsi="宋体"/>
        </w:rPr>
        <w:t xml:space="preserve">  井道：电梯井内无明水，并保持干燥，如发现有渗水点及时进行封堵；井道垂直偏差在公差范围内并确保井道壁上无残留钢筋模板和其他杂物、保持一定的光洁度；</w:t>
      </w:r>
    </w:p>
    <w:p>
      <w:pPr>
        <w:spacing w:line="276" w:lineRule="auto"/>
        <w:ind w:firstLine="420" w:firstLineChars="200"/>
        <w:rPr>
          <w:rFonts w:ascii="宋体" w:hAnsi="宋体"/>
        </w:rPr>
      </w:pPr>
      <w:r>
        <w:rPr>
          <w:rFonts w:hint="eastAsia" w:ascii="宋体" w:hAnsi="宋体"/>
        </w:rPr>
        <w:t>7.1.2.1.</w:t>
      </w:r>
      <w:r>
        <w:rPr>
          <w:rFonts w:ascii="宋体" w:hAnsi="宋体"/>
        </w:rPr>
        <w:t>8</w:t>
      </w:r>
      <w:r>
        <w:rPr>
          <w:rFonts w:hint="eastAsia" w:ascii="宋体" w:hAnsi="宋体"/>
        </w:rPr>
        <w:t xml:space="preserve">  厅门封闭：厅门由承包人采用细木工板封闭，厅门口设挡水槛，防止水流入井道内；</w:t>
      </w:r>
    </w:p>
    <w:p>
      <w:pPr>
        <w:spacing w:line="276" w:lineRule="auto"/>
        <w:ind w:firstLine="420" w:firstLineChars="200"/>
        <w:rPr>
          <w:rFonts w:ascii="宋体" w:hAnsi="宋体"/>
        </w:rPr>
      </w:pPr>
      <w:r>
        <w:rPr>
          <w:rFonts w:hint="eastAsia" w:ascii="宋体" w:hAnsi="宋体"/>
        </w:rPr>
        <w:t>7.1.2.1.</w:t>
      </w:r>
      <w:r>
        <w:rPr>
          <w:rFonts w:ascii="宋体" w:hAnsi="宋体"/>
        </w:rPr>
        <w:t>9</w:t>
      </w:r>
      <w:r>
        <w:rPr>
          <w:rFonts w:hint="eastAsia" w:ascii="宋体" w:hAnsi="宋体"/>
        </w:rPr>
        <w:t xml:space="preserve">  井道顶端封闭：由承包人负责安装顶板防护，并完成顶板防护防水施工，承包人负责将防护顶板排水引出井道外，直至引出大楼并引流至地面排水系统；</w:t>
      </w:r>
    </w:p>
    <w:p>
      <w:pPr>
        <w:spacing w:line="276" w:lineRule="auto"/>
        <w:ind w:firstLine="420" w:firstLineChars="200"/>
        <w:rPr>
          <w:rFonts w:ascii="宋体" w:hAnsi="宋体"/>
        </w:rPr>
      </w:pPr>
      <w:r>
        <w:rPr>
          <w:rFonts w:hint="eastAsia" w:ascii="宋体" w:hAnsi="宋体"/>
        </w:rPr>
        <w:t>7.1.2.1.1</w:t>
      </w:r>
      <w:r>
        <w:rPr>
          <w:rFonts w:ascii="宋体" w:hAnsi="宋体"/>
        </w:rPr>
        <w:t>0</w:t>
      </w:r>
      <w:r>
        <w:rPr>
          <w:rFonts w:hint="eastAsia" w:ascii="宋体" w:hAnsi="宋体"/>
        </w:rPr>
        <w:t xml:space="preserve">  标高控制：承包人负责提供楼层基准标高线，由精装修单位提供电梯厅的装饰层厚度（如精装修单位未进场，</w:t>
      </w:r>
      <w:r>
        <w:rPr>
          <w:rFonts w:hint="eastAsia" w:ascii="宋体" w:hAnsi="宋体"/>
          <w:kern w:val="0"/>
        </w:rPr>
        <w:t>由发包</w:t>
      </w:r>
      <w:r>
        <w:rPr>
          <w:rFonts w:hint="eastAsia" w:ascii="宋体" w:hAnsi="宋体"/>
        </w:rPr>
        <w:t>人提供确认），承包人根据上述提供的线位确定电梯楼层停靠高度。</w:t>
      </w:r>
    </w:p>
    <w:p>
      <w:pPr>
        <w:spacing w:line="276" w:lineRule="auto"/>
        <w:ind w:firstLine="420" w:firstLineChars="200"/>
        <w:rPr>
          <w:rFonts w:ascii="宋体" w:hAnsi="宋体"/>
        </w:rPr>
      </w:pPr>
      <w:r>
        <w:rPr>
          <w:rFonts w:hint="eastAsia" w:ascii="宋体" w:hAnsi="宋体"/>
        </w:rPr>
        <w:t>7.1.2.1.</w:t>
      </w:r>
      <w:r>
        <w:rPr>
          <w:rFonts w:ascii="宋体" w:hAnsi="宋体"/>
        </w:rPr>
        <w:t>11</w:t>
      </w:r>
      <w:r>
        <w:rPr>
          <w:rFonts w:hint="eastAsia" w:ascii="宋体" w:hAnsi="宋体"/>
        </w:rPr>
        <w:t xml:space="preserve">  电梯运行期间，承包人单位需保证施工不对样板房造成影响，如渗水等问题。</w:t>
      </w:r>
    </w:p>
    <w:p>
      <w:pPr>
        <w:spacing w:line="276" w:lineRule="auto"/>
        <w:ind w:firstLine="420" w:firstLineChars="200"/>
        <w:rPr>
          <w:rFonts w:ascii="宋体" w:hAnsi="宋体"/>
        </w:rPr>
      </w:pPr>
      <w:r>
        <w:rPr>
          <w:rFonts w:hint="eastAsia" w:ascii="宋体" w:hAnsi="宋体"/>
        </w:rPr>
        <w:t>以上所有项目，承包人需在投标报价中列项，合同执行中，发包人将不予另外计费。</w:t>
      </w:r>
    </w:p>
    <w:p>
      <w:pPr>
        <w:spacing w:line="276" w:lineRule="auto"/>
        <w:ind w:firstLine="420" w:firstLineChars="200"/>
        <w:rPr>
          <w:rFonts w:ascii="宋体" w:hAnsi="宋体"/>
        </w:rPr>
      </w:pPr>
      <w:r>
        <w:rPr>
          <w:rFonts w:hint="eastAsia" w:ascii="宋体" w:hAnsi="宋体"/>
        </w:rPr>
        <w:t>7.1.2.2  样板区开放</w:t>
      </w:r>
    </w:p>
    <w:p>
      <w:pPr>
        <w:spacing w:line="276" w:lineRule="auto"/>
        <w:ind w:firstLine="420" w:firstLineChars="200"/>
        <w:rPr>
          <w:rFonts w:ascii="宋体" w:hAnsi="宋体"/>
        </w:rPr>
      </w:pPr>
      <w:r>
        <w:rPr>
          <w:rFonts w:hint="eastAsia" w:ascii="宋体" w:hAnsi="宋体"/>
        </w:rPr>
        <w:t>承包人单位需按发包人要求保证销售中心及样板间施工节点；承包人需提前完成土建、安装、装饰装修等相关工作，满足开放展示要求，并保证不受上层施工影响（渗水等）。</w:t>
      </w:r>
    </w:p>
    <w:p>
      <w:pPr>
        <w:spacing w:line="276" w:lineRule="auto"/>
        <w:ind w:firstLine="420" w:firstLineChars="200"/>
        <w:rPr>
          <w:rFonts w:ascii="宋体" w:hAnsi="宋体"/>
        </w:rPr>
      </w:pPr>
      <w:r>
        <w:rPr>
          <w:rFonts w:hint="eastAsia" w:ascii="宋体" w:hAnsi="宋体"/>
        </w:rPr>
        <w:t>7.1.2.3  销售配合工作</w:t>
      </w:r>
      <w:bookmarkEnd w:id="144"/>
      <w:bookmarkEnd w:id="145"/>
    </w:p>
    <w:p>
      <w:pPr>
        <w:spacing w:line="276" w:lineRule="auto"/>
        <w:ind w:firstLine="420" w:firstLineChars="200"/>
        <w:rPr>
          <w:rFonts w:ascii="宋体" w:hAnsi="宋体"/>
        </w:rPr>
      </w:pPr>
      <w:r>
        <w:rPr>
          <w:rFonts w:hint="eastAsia" w:ascii="宋体" w:hAnsi="宋体"/>
        </w:rPr>
        <w:t>当发包人进入销售阶段时，为配合售楼，需对施工现场进行美化、包装以及部分工程需提前施工完成（销售配合时间由发包人另行提前通知），承包人应制订切实可行的施工方案（如悬挑脚手架、安全防护围篱等），便于室内、外多工种联合作业，交叉施工。提供样板房、样板景观开放临时用水用电管线和设施。既要美化环境，又要保证施工安全。承包人将此作为单独方案编制，经发包人和监理工程师批准后执行。配合售楼引起的各种误工、赶工、窝工、机械占用、场地占用及各种施工措施等一切费用，由承包人承担，承包人在投标报价开办费中应综合考虑。</w:t>
      </w:r>
    </w:p>
    <w:p>
      <w:pPr>
        <w:spacing w:line="276" w:lineRule="auto"/>
        <w:ind w:firstLine="420" w:firstLineChars="200"/>
        <w:rPr>
          <w:rFonts w:ascii="宋体" w:hAnsi="宋体"/>
        </w:rPr>
      </w:pPr>
      <w:r>
        <w:rPr>
          <w:rFonts w:hint="eastAsia" w:ascii="宋体" w:hAnsi="宋体"/>
        </w:rPr>
        <w:t>7.1.2.3.1  为配合销售而提前需要施工的项目，发包人将提前通知承包人，承包人必须按发包人的要求按时安排施工完毕。</w:t>
      </w:r>
    </w:p>
    <w:p>
      <w:pPr>
        <w:spacing w:line="276" w:lineRule="auto"/>
        <w:ind w:firstLine="420" w:firstLineChars="200"/>
        <w:rPr>
          <w:rFonts w:ascii="宋体" w:hAnsi="宋体"/>
        </w:rPr>
      </w:pPr>
      <w:r>
        <w:rPr>
          <w:rFonts w:hint="eastAsia" w:ascii="宋体" w:hAnsi="宋体"/>
        </w:rPr>
        <w:t>7.1.2.3.2  为配合精装修及销售要求，如需在指定楼层设置悬挑式脚手架，承包人需积极配合，不得拒绝。相关费用包含在投标总价中。</w:t>
      </w:r>
    </w:p>
    <w:p>
      <w:pPr>
        <w:spacing w:line="276" w:lineRule="auto"/>
        <w:ind w:firstLine="420" w:firstLineChars="200"/>
        <w:rPr>
          <w:rFonts w:ascii="宋体" w:hAnsi="宋体"/>
        </w:rPr>
      </w:pPr>
      <w:r>
        <w:rPr>
          <w:rFonts w:hint="eastAsia" w:ascii="宋体" w:hAnsi="宋体"/>
        </w:rPr>
        <w:t>7.1.2.3.3  发包人将根据销售的情况，在施工过程中，对承包人进场前修建的施工主干道进行封闭或改建，请承包人考虑由于施工主干道更改，承包人须另行更改施工道路及材料堆场，由此产生的各种施工措施费请承包人在投标报价中综合考虑。此种情况发包人将提前通知承包人。</w:t>
      </w:r>
    </w:p>
    <w:p>
      <w:pPr>
        <w:spacing w:line="276" w:lineRule="auto"/>
        <w:ind w:firstLine="420" w:firstLineChars="200"/>
        <w:rPr>
          <w:rFonts w:ascii="宋体" w:hAnsi="宋体"/>
        </w:rPr>
      </w:pPr>
      <w:r>
        <w:rPr>
          <w:rFonts w:hint="eastAsia" w:ascii="宋体" w:hAnsi="宋体"/>
        </w:rPr>
        <w:t>7.1.2.3.4  如有必要，为满足发包人示范区开放要求，需采取适当的赶工措施，对此承包人应无条件配合施工。</w:t>
      </w:r>
    </w:p>
    <w:p>
      <w:pPr>
        <w:spacing w:line="276" w:lineRule="auto"/>
        <w:ind w:firstLine="420" w:firstLineChars="200"/>
        <w:rPr>
          <w:rFonts w:ascii="宋体" w:hAnsi="宋体"/>
        </w:rPr>
      </w:pPr>
      <w:r>
        <w:rPr>
          <w:rFonts w:hint="eastAsia" w:ascii="宋体" w:hAnsi="宋体"/>
        </w:rPr>
        <w:t>7.1.2.3.5  为了保证发包人示范区正常开放，承包人必须提供销售中心及样板间临时用电（临电实施需保证示范区开放进度），所需电线电缆由承包人提供。</w:t>
      </w:r>
    </w:p>
    <w:p>
      <w:pPr>
        <w:pStyle w:val="3"/>
        <w:spacing w:before="0" w:after="0" w:line="276" w:lineRule="auto"/>
        <w:ind w:firstLine="413" w:firstLineChars="196"/>
        <w:rPr>
          <w:rFonts w:ascii="宋体" w:hAnsi="宋体"/>
          <w:sz w:val="21"/>
          <w:szCs w:val="21"/>
        </w:rPr>
      </w:pPr>
      <w:bookmarkStart w:id="146" w:name="_Toc405535553"/>
      <w:bookmarkStart w:id="147" w:name="_Toc144459638"/>
      <w:r>
        <w:rPr>
          <w:rFonts w:hint="eastAsia" w:ascii="宋体" w:hAnsi="宋体"/>
          <w:sz w:val="21"/>
          <w:szCs w:val="21"/>
        </w:rPr>
        <w:t>7.2  对分包的管理要求及配合措施</w:t>
      </w:r>
      <w:bookmarkEnd w:id="146"/>
      <w:bookmarkEnd w:id="147"/>
    </w:p>
    <w:p>
      <w:pPr>
        <w:spacing w:line="276" w:lineRule="auto"/>
        <w:ind w:firstLine="420" w:firstLineChars="200"/>
        <w:rPr>
          <w:rFonts w:ascii="宋体" w:hAnsi="宋体"/>
        </w:rPr>
      </w:pPr>
      <w:r>
        <w:rPr>
          <w:rFonts w:hint="eastAsia" w:ascii="宋体" w:hAnsi="宋体"/>
        </w:rPr>
        <w:t>承包人作为整个工程实施阶段安全、质量及进度的责任主体，承担工程承包人管理义务，行使承包人管理职权。当工程在安全、质量及进度等方面</w:t>
      </w:r>
      <w:bookmarkStart w:id="385" w:name="_GoBack"/>
      <w:bookmarkEnd w:id="385"/>
      <w:r>
        <w:rPr>
          <w:rFonts w:hint="eastAsia" w:ascii="宋体" w:hAnsi="宋体"/>
        </w:rPr>
        <w:t>发生问题时，发包人将首先追查承包人方的管理责任，对于承包人对分包不管理或管理不当而造成的项目损失，承包人负有连带责任，必要时发包人将对承包人进行相应处罚。</w:t>
      </w:r>
    </w:p>
    <w:p>
      <w:pPr>
        <w:spacing w:line="276" w:lineRule="auto"/>
        <w:ind w:firstLine="420" w:firstLineChars="200"/>
        <w:rPr>
          <w:rFonts w:ascii="宋体" w:hAnsi="宋体"/>
        </w:rPr>
      </w:pPr>
      <w:bookmarkStart w:id="148" w:name="_Toc404603814"/>
      <w:bookmarkStart w:id="149" w:name="_Toc404565112"/>
      <w:bookmarkStart w:id="150" w:name="_Toc405535554"/>
      <w:r>
        <w:rPr>
          <w:rFonts w:hint="eastAsia" w:ascii="宋体" w:hAnsi="宋体"/>
        </w:rPr>
        <w:t>7.2.1  总承包人对</w:t>
      </w:r>
      <w:bookmarkEnd w:id="148"/>
      <w:bookmarkEnd w:id="149"/>
      <w:bookmarkEnd w:id="150"/>
      <w:r>
        <w:rPr>
          <w:rFonts w:hint="eastAsia" w:ascii="宋体" w:hAnsi="宋体"/>
        </w:rPr>
        <w:t>施工现场及自行分包的分包人的管理责任</w:t>
      </w:r>
    </w:p>
    <w:p>
      <w:pPr>
        <w:spacing w:line="276" w:lineRule="auto"/>
        <w:ind w:firstLine="420" w:firstLineChars="200"/>
        <w:rPr>
          <w:rFonts w:ascii="宋体" w:hAnsi="宋体"/>
        </w:rPr>
      </w:pPr>
      <w:r>
        <w:rPr>
          <w:rFonts w:ascii="宋体" w:hAnsi="宋体"/>
        </w:rPr>
        <w:t>总承包人</w:t>
      </w:r>
      <w:r>
        <w:rPr>
          <w:rFonts w:hint="eastAsia" w:ascii="宋体" w:hAnsi="宋体"/>
        </w:rPr>
        <w:t>作为本工程的总包单位，应</w:t>
      </w:r>
      <w:r>
        <w:rPr>
          <w:rFonts w:ascii="宋体" w:hAnsi="宋体"/>
        </w:rPr>
        <w:t>对本合同下的整个工程负责，</w:t>
      </w:r>
      <w:r>
        <w:rPr>
          <w:rFonts w:hint="eastAsia" w:ascii="宋体" w:hAnsi="宋体"/>
        </w:rPr>
        <w:t>承包人需对施工现场及自行分包的分包人进行</w:t>
      </w:r>
      <w:r>
        <w:rPr>
          <w:rFonts w:ascii="宋体" w:hAnsi="宋体"/>
        </w:rPr>
        <w:t>管理</w:t>
      </w:r>
      <w:r>
        <w:rPr>
          <w:rFonts w:hint="eastAsia" w:ascii="宋体" w:hAnsi="宋体"/>
        </w:rPr>
        <w:t>、协调和配合，且相应费用已包含在总包管理服务费中。具体</w:t>
      </w:r>
      <w:r>
        <w:rPr>
          <w:rFonts w:ascii="宋体" w:hAnsi="宋体"/>
        </w:rPr>
        <w:t>工作包括但不仅限于：</w:t>
      </w:r>
    </w:p>
    <w:p>
      <w:pPr>
        <w:spacing w:line="276" w:lineRule="auto"/>
        <w:ind w:firstLine="420" w:firstLineChars="200"/>
        <w:rPr>
          <w:rFonts w:ascii="宋体" w:hAnsi="宋体"/>
        </w:rPr>
      </w:pPr>
      <w:r>
        <w:rPr>
          <w:rFonts w:hint="eastAsia" w:ascii="宋体" w:hAnsi="宋体"/>
        </w:rPr>
        <w:t>7.2.1.1  参加各类施工协调、配合会议，由于工地交叉施工引起的问题，有义务进行配合协商解决，服从发包人及监理现场总协调作出的决定；总承包人项目经理、项目技术负责人、商务负责人、机电安装生产经理、质量管理负责人、安全文明施工管理负责人等必须按时参加每周工程例会、每月进度计划协调会和根据工程需要、不定期召开的各种专项会议，因故不能参加的应提前4小时向发包人提出申请并在获得发包人批准后方可缺席，总承包人必须严格执行通过会议形成的各方认可的会议纪要。总承包人人员未经发包人事前允许缺席上述会议的，应向发包人支付违约金，项目经理缺席时支付违约金2000元/人·次，其他人员缺席时支付违约金500元/人·次。</w:t>
      </w:r>
    </w:p>
    <w:p>
      <w:pPr>
        <w:spacing w:line="276" w:lineRule="auto"/>
        <w:ind w:firstLine="420" w:firstLineChars="200"/>
        <w:rPr>
          <w:rFonts w:ascii="宋体" w:hAnsi="宋体"/>
        </w:rPr>
      </w:pPr>
      <w:r>
        <w:rPr>
          <w:rFonts w:hint="eastAsia" w:ascii="宋体" w:hAnsi="宋体"/>
        </w:rPr>
        <w:t>7.2.1.</w:t>
      </w:r>
      <w:r>
        <w:rPr>
          <w:rFonts w:ascii="宋体" w:hAnsi="宋体"/>
        </w:rPr>
        <w:t>2</w:t>
      </w:r>
      <w:r>
        <w:rPr>
          <w:rFonts w:hint="eastAsia" w:ascii="宋体" w:hAnsi="宋体"/>
        </w:rPr>
        <w:t xml:space="preserve">  总承包人须负责与其他专业单位之总联络及协调工作，提供其他专业单位所需的现场已有设施供使用。所有由发包人和总监理工程师向总承包人发出有关专业队伍的指示，总承包人须立即转交，确定指示被正确传达，并汇报执行情况。</w:t>
      </w:r>
    </w:p>
    <w:p>
      <w:pPr>
        <w:spacing w:line="276" w:lineRule="auto"/>
        <w:ind w:firstLine="420" w:firstLineChars="200"/>
        <w:rPr>
          <w:rFonts w:ascii="宋体" w:hAnsi="宋体"/>
        </w:rPr>
      </w:pPr>
      <w:r>
        <w:rPr>
          <w:rFonts w:hint="eastAsia" w:ascii="宋体" w:hAnsi="宋体"/>
        </w:rPr>
        <w:t>7.2.1.</w:t>
      </w:r>
      <w:r>
        <w:rPr>
          <w:rFonts w:ascii="宋体" w:hAnsi="宋体"/>
        </w:rPr>
        <w:t>3</w:t>
      </w:r>
      <w:r>
        <w:rPr>
          <w:rFonts w:hint="eastAsia" w:ascii="宋体" w:hAnsi="宋体"/>
        </w:rPr>
        <w:t xml:space="preserve">  为其他承包人及时提供足够的、无障碍的工作面。</w:t>
      </w:r>
    </w:p>
    <w:p>
      <w:pPr>
        <w:spacing w:line="276" w:lineRule="auto"/>
        <w:ind w:firstLine="420" w:firstLineChars="200"/>
        <w:rPr>
          <w:rFonts w:ascii="宋体" w:hAnsi="宋体"/>
        </w:rPr>
      </w:pPr>
      <w:r>
        <w:rPr>
          <w:rFonts w:hint="eastAsia" w:ascii="宋体" w:hAnsi="宋体"/>
        </w:rPr>
        <w:t>7.2.1.</w:t>
      </w:r>
      <w:r>
        <w:rPr>
          <w:rFonts w:ascii="宋体" w:hAnsi="宋体"/>
        </w:rPr>
        <w:t>4</w:t>
      </w:r>
      <w:r>
        <w:rPr>
          <w:rFonts w:hint="eastAsia" w:ascii="宋体" w:hAnsi="宋体"/>
        </w:rPr>
        <w:t xml:space="preserve">  督查和落实本工程各专业分包人严格按施工图所示的设计要求进行施工。总承包人发现专业分包人施工图设计有疏忽缺陷或尺寸差异或资料不足，有责任及时向发包人书面提出。</w:t>
      </w:r>
    </w:p>
    <w:p>
      <w:pPr>
        <w:spacing w:line="276" w:lineRule="auto"/>
        <w:ind w:firstLine="420" w:firstLineChars="200"/>
        <w:rPr>
          <w:rFonts w:ascii="宋体" w:hAnsi="宋体"/>
        </w:rPr>
      </w:pPr>
      <w:r>
        <w:rPr>
          <w:rFonts w:hint="eastAsia" w:ascii="宋体" w:hAnsi="宋体"/>
        </w:rPr>
        <w:t>7.2.1.</w:t>
      </w:r>
      <w:r>
        <w:rPr>
          <w:rFonts w:ascii="宋体" w:hAnsi="宋体"/>
        </w:rPr>
        <w:t>5</w:t>
      </w:r>
      <w:r>
        <w:rPr>
          <w:rFonts w:hint="eastAsia" w:ascii="宋体" w:hAnsi="宋体"/>
        </w:rPr>
        <w:t xml:space="preserve">  负责工程（包括专业分包工程）的整体进度的协调，总承包人编制施工总承包进度网络计划，由总承包人负责向总监理工程师提供各专业分包工程的进场计划表,报发包人批准后执行。负责审核专业分包人提交的专业分包工程的进度计划，分阶段计划、月和周进度计划，并制定工程总进度计划和分阶段计划，报总监理工程师审核备案。尤其是影响工程关键线路的有关项目，主动地要求专业分包人提供施工程序及时间表，对不同专业分包人有矛盾的交叉作业面作出协调，定期组织召开各专业分包人参加的协调会，及时分析、协调、平衡和调整工程进度，并提供有关施工进度报告和分析存在问题，确保本工程按期完成；总承包人应根据工程总进度的计划，负责安排各专业分包人及设备材料供应单位的进场、退场时间及相应施工周期和合理的施工作业区域，落实相关的经济责任。</w:t>
      </w:r>
    </w:p>
    <w:p>
      <w:pPr>
        <w:spacing w:line="276" w:lineRule="auto"/>
        <w:ind w:firstLine="420" w:firstLineChars="200"/>
        <w:rPr>
          <w:rFonts w:ascii="宋体" w:hAnsi="宋体"/>
        </w:rPr>
      </w:pPr>
      <w:r>
        <w:rPr>
          <w:rFonts w:hint="eastAsia" w:ascii="宋体" w:hAnsi="宋体"/>
        </w:rPr>
        <w:t>7.2.1.</w:t>
      </w:r>
      <w:r>
        <w:rPr>
          <w:rFonts w:ascii="宋体" w:hAnsi="宋体"/>
        </w:rPr>
        <w:t>6</w:t>
      </w:r>
      <w:r>
        <w:rPr>
          <w:rFonts w:hint="eastAsia" w:ascii="宋体" w:hAnsi="宋体"/>
        </w:rPr>
        <w:t xml:space="preserve">  工程造价管理：总承包人根据本工程施工进度计划，督查落实和审查专业分包人编报的当月完成工程量报表和下月资金使用计划，汇总成《工程进度款申请报告》按合同约定的时间要求报送总监理工程师审核，并经发包人审批后作为当月应支付的工程款的依据。同时，总承包人应根据发包人的需要汇总整理并上报分包人的结算资料。</w:t>
      </w:r>
    </w:p>
    <w:p>
      <w:pPr>
        <w:spacing w:line="276" w:lineRule="auto"/>
        <w:ind w:firstLine="420" w:firstLineChars="200"/>
        <w:rPr>
          <w:rFonts w:ascii="宋体" w:hAnsi="宋体"/>
        </w:rPr>
      </w:pPr>
      <w:r>
        <w:rPr>
          <w:rFonts w:hint="eastAsia" w:ascii="宋体" w:hAnsi="宋体"/>
        </w:rPr>
        <w:t>7.2.1.</w:t>
      </w:r>
      <w:r>
        <w:rPr>
          <w:rFonts w:ascii="宋体" w:hAnsi="宋体"/>
        </w:rPr>
        <w:t>7</w:t>
      </w:r>
      <w:r>
        <w:rPr>
          <w:rFonts w:hint="eastAsia" w:ascii="宋体" w:hAnsi="宋体"/>
        </w:rPr>
        <w:t xml:space="preserve">  材料设备供应：总承包人应根据施工总承包进度网络计划，编制应由发包人供应的材料/设备供货（包括专业分包工程）的进场时间表和材料设备采购清单（包括规格、型号、数量、质量等），及时报总监理工程师和发包人审核。每月5日之前上报总监理工程师和发包人下月施工所需的由发包人供应的材料/设备清单（包括规格、型号、数量），如果因施工进度调整需提前使用某些上述材料/设备，总承包人应提前60个日历天书面上报相关清单给总监理工程师和发包人审核。</w:t>
      </w:r>
    </w:p>
    <w:p>
      <w:pPr>
        <w:spacing w:line="276" w:lineRule="auto"/>
        <w:ind w:firstLine="420" w:firstLineChars="200"/>
        <w:rPr>
          <w:rFonts w:ascii="宋体" w:hAnsi="宋体"/>
        </w:rPr>
      </w:pPr>
      <w:r>
        <w:rPr>
          <w:rFonts w:hint="eastAsia" w:ascii="宋体" w:hAnsi="宋体"/>
        </w:rPr>
        <w:t>7.2.1.</w:t>
      </w:r>
      <w:r>
        <w:rPr>
          <w:rFonts w:ascii="宋体" w:hAnsi="宋体"/>
        </w:rPr>
        <w:t>8</w:t>
      </w:r>
      <w:r>
        <w:rPr>
          <w:rFonts w:hint="eastAsia" w:ascii="宋体" w:hAnsi="宋体"/>
        </w:rPr>
        <w:t xml:space="preserve">  在施工过程中必须配合发包人营销需要，积极采取措施配合样板房及室外环境的施工。</w:t>
      </w:r>
    </w:p>
    <w:p>
      <w:pPr>
        <w:spacing w:line="276" w:lineRule="auto"/>
        <w:ind w:firstLine="420" w:firstLineChars="200"/>
        <w:rPr>
          <w:rFonts w:ascii="宋体" w:hAnsi="宋体"/>
        </w:rPr>
      </w:pPr>
      <w:r>
        <w:rPr>
          <w:rFonts w:hint="eastAsia" w:ascii="宋体" w:hAnsi="宋体"/>
        </w:rPr>
        <w:t>7.2.1.</w:t>
      </w:r>
      <w:r>
        <w:rPr>
          <w:rFonts w:ascii="宋体" w:hAnsi="宋体"/>
        </w:rPr>
        <w:t>9</w:t>
      </w:r>
      <w:r>
        <w:rPr>
          <w:rFonts w:hint="eastAsia" w:ascii="宋体" w:hAnsi="宋体"/>
        </w:rPr>
        <w:t xml:space="preserve">  为保证营销配合和室外小市政工程顺利进行，总承包人须采取任何有效措施（如裙楼部分采用单体建筑外脚手架悬挑搭设）以配合上述工程顺利实施；在室外工程开工后，发包人有权要求总承包人拆除影响室外工程的临时设施，总承包人应无条件同意并配合，上述费用总承包人在措施项目报价中已经考虑且不再向发包人收取任何费用。</w:t>
      </w:r>
    </w:p>
    <w:p>
      <w:pPr>
        <w:spacing w:line="276" w:lineRule="auto"/>
        <w:ind w:firstLine="420" w:firstLineChars="200"/>
        <w:rPr>
          <w:rFonts w:ascii="宋体" w:hAnsi="宋体"/>
        </w:rPr>
      </w:pPr>
      <w:r>
        <w:rPr>
          <w:rFonts w:hint="eastAsia" w:ascii="宋体" w:hAnsi="宋体"/>
        </w:rPr>
        <w:t>7.2.1.1</w:t>
      </w:r>
      <w:r>
        <w:rPr>
          <w:rFonts w:ascii="宋体" w:hAnsi="宋体"/>
        </w:rPr>
        <w:t>0</w:t>
      </w:r>
      <w:r>
        <w:rPr>
          <w:rFonts w:hint="eastAsia" w:ascii="宋体" w:hAnsi="宋体"/>
        </w:rPr>
        <w:t xml:space="preserve">  总承包人需积极配合发包人的相关宣传报道、形象展示活动。并未经发包人同意，总承包人不得以任何名义作任何关于该项目的宣传报道或接受媒体的采访。</w:t>
      </w:r>
    </w:p>
    <w:p>
      <w:pPr>
        <w:spacing w:line="276" w:lineRule="auto"/>
        <w:ind w:firstLine="420" w:firstLineChars="200"/>
        <w:rPr>
          <w:rFonts w:ascii="宋体" w:hAnsi="宋体"/>
        </w:rPr>
      </w:pPr>
      <w:r>
        <w:rPr>
          <w:rFonts w:hint="eastAsia" w:ascii="宋体" w:hAnsi="宋体"/>
        </w:rPr>
        <w:t>7.2.1.</w:t>
      </w:r>
      <w:r>
        <w:rPr>
          <w:rFonts w:ascii="宋体" w:hAnsi="宋体"/>
        </w:rPr>
        <w:t>11</w:t>
      </w:r>
      <w:r>
        <w:rPr>
          <w:rFonts w:hint="eastAsia" w:ascii="宋体" w:hAnsi="宋体"/>
        </w:rPr>
        <w:t xml:space="preserve">  专业技术人员的配备：</w:t>
      </w:r>
    </w:p>
    <w:p>
      <w:pPr>
        <w:spacing w:line="276" w:lineRule="auto"/>
        <w:ind w:firstLine="420" w:firstLineChars="200"/>
        <w:rPr>
          <w:rFonts w:ascii="宋体" w:hAnsi="宋体"/>
        </w:rPr>
      </w:pPr>
      <w:r>
        <w:rPr>
          <w:rFonts w:hint="eastAsia" w:ascii="宋体" w:hAnsi="宋体"/>
        </w:rPr>
        <w:t>7.2.1.1</w:t>
      </w:r>
      <w:r>
        <w:rPr>
          <w:rFonts w:ascii="宋体" w:hAnsi="宋体"/>
        </w:rPr>
        <w:t>1</w:t>
      </w:r>
      <w:r>
        <w:rPr>
          <w:rFonts w:hint="eastAsia" w:ascii="宋体" w:hAnsi="宋体"/>
        </w:rPr>
        <w:t>.1  总承包人应配备足够的各专业设计人员组成设计组，设计组成员要具备审图、设计能力并具有丰富施工经验，设计组工作包括但不限于：审图、与设计单位联系沟通、提出建设性意见、深化设计、绘制详图及管线综合排布图等。</w:t>
      </w:r>
    </w:p>
    <w:p>
      <w:pPr>
        <w:spacing w:line="276" w:lineRule="auto"/>
        <w:ind w:firstLine="420" w:firstLineChars="200"/>
        <w:rPr>
          <w:rFonts w:ascii="宋体" w:hAnsi="宋体"/>
        </w:rPr>
      </w:pPr>
      <w:r>
        <w:rPr>
          <w:rFonts w:hint="eastAsia" w:ascii="宋体" w:hAnsi="宋体"/>
        </w:rPr>
        <w:t>7.2.1.1</w:t>
      </w:r>
      <w:r>
        <w:rPr>
          <w:rFonts w:ascii="宋体" w:hAnsi="宋体"/>
        </w:rPr>
        <w:t>1</w:t>
      </w:r>
      <w:r>
        <w:rPr>
          <w:rFonts w:hint="eastAsia" w:ascii="宋体" w:hAnsi="宋体"/>
        </w:rPr>
        <w:t>.2  总承包人应</w:t>
      </w:r>
      <w:r>
        <w:rPr>
          <w:rFonts w:ascii="宋体" w:hAnsi="宋体"/>
        </w:rPr>
        <w:t>配备足够</w:t>
      </w:r>
      <w:r>
        <w:rPr>
          <w:rFonts w:hint="eastAsia" w:ascii="宋体" w:hAnsi="宋体"/>
        </w:rPr>
        <w:t>数量的</w:t>
      </w:r>
      <w:r>
        <w:rPr>
          <w:rFonts w:ascii="宋体" w:hAnsi="宋体"/>
        </w:rPr>
        <w:t>专业人员从事材料设备采购工作，材料设备采购组的成员要具有各类材料设备鉴别、监造、选择的经验及水平（特别</w:t>
      </w:r>
      <w:r>
        <w:rPr>
          <w:rFonts w:hint="eastAsia" w:ascii="宋体" w:hAnsi="宋体"/>
        </w:rPr>
        <w:t>是</w:t>
      </w:r>
      <w:r>
        <w:rPr>
          <w:rFonts w:ascii="宋体" w:hAnsi="宋体"/>
        </w:rPr>
        <w:t>对于机电安装等方面的材料设备）。熟悉各种材料设备的品牌、质量、货源、相关手续等情况。</w:t>
      </w:r>
    </w:p>
    <w:p>
      <w:pPr>
        <w:spacing w:line="276" w:lineRule="auto"/>
        <w:ind w:firstLine="420" w:firstLineChars="200"/>
        <w:rPr>
          <w:rFonts w:ascii="宋体" w:hAnsi="宋体"/>
        </w:rPr>
      </w:pPr>
      <w:r>
        <w:rPr>
          <w:rFonts w:hint="eastAsia" w:ascii="宋体" w:hAnsi="宋体"/>
        </w:rPr>
        <w:t>7.2.1.1</w:t>
      </w:r>
      <w:r>
        <w:rPr>
          <w:rFonts w:ascii="宋体" w:hAnsi="宋体"/>
        </w:rPr>
        <w:t>1</w:t>
      </w:r>
      <w:r>
        <w:rPr>
          <w:rFonts w:hint="eastAsia" w:ascii="宋体" w:hAnsi="宋体"/>
        </w:rPr>
        <w:t>.3  特殊工种：总承包人为本合同雇佣的特殊工种的工人和操作人员应受过专门的培训并已取得政府和有关管理机构规定的上岗证书。这些特殊工种包括但不限于：电工、焊工、锅炉工、塔吊司机、信号工、架子工、爆破作业人员、施工机械操作人员、电梯工等。</w:t>
      </w:r>
    </w:p>
    <w:p>
      <w:pPr>
        <w:spacing w:line="276" w:lineRule="auto"/>
        <w:ind w:firstLine="420" w:firstLineChars="200"/>
        <w:rPr>
          <w:rFonts w:ascii="宋体" w:hAnsi="宋体"/>
        </w:rPr>
      </w:pPr>
      <w:r>
        <w:rPr>
          <w:rFonts w:hint="eastAsia" w:ascii="宋体" w:hAnsi="宋体"/>
        </w:rPr>
        <w:t>7.2.1.1</w:t>
      </w:r>
      <w:r>
        <w:rPr>
          <w:rFonts w:ascii="宋体" w:hAnsi="宋体"/>
        </w:rPr>
        <w:t>2</w:t>
      </w:r>
      <w:r>
        <w:rPr>
          <w:rFonts w:hint="eastAsia" w:ascii="宋体" w:hAnsi="宋体"/>
        </w:rPr>
        <w:t xml:space="preserve">  保证足够的生产流动资金：在整个合同的履约期间，总承包人除能得到发包人根据合同条款的约定应支付的各项款项外，不会再得到来自发包人的任何超出合同条款约定的任何额外资金的支持。因此，在整个合同履约期内，总承包人须考虑并准备足够的自有流动资金，以满足本工程正常施工的需要。发包人和监理工程师不会接受任何因总承包人自身生产资金不足而提出的任何性质的索赔。总承包人须做好对分包的资金控制，编制分包资金流量计划，实行专业分包商中期付款程序，严格审查分包商工程报量，收到发包人工程款后及时支付分包款项并保证优先支付劳务资金。</w:t>
      </w:r>
    </w:p>
    <w:p>
      <w:pPr>
        <w:spacing w:line="276" w:lineRule="auto"/>
        <w:ind w:firstLine="420" w:firstLineChars="200"/>
        <w:rPr>
          <w:rFonts w:ascii="宋体" w:hAnsi="宋体"/>
        </w:rPr>
      </w:pPr>
      <w:r>
        <w:rPr>
          <w:rFonts w:hint="eastAsia" w:ascii="宋体" w:hAnsi="宋体"/>
        </w:rPr>
        <w:t>上述承包人对分包的管理要求及配合措施涉及的费用已综合包含在合同约定的总包收费中，除合同另已特殊明确外，承包人不得以任何理由提出索赔。</w:t>
      </w:r>
    </w:p>
    <w:p>
      <w:pPr>
        <w:pStyle w:val="3"/>
        <w:spacing w:before="0" w:after="0" w:line="276" w:lineRule="auto"/>
        <w:ind w:firstLine="413" w:firstLineChars="196"/>
        <w:rPr>
          <w:rFonts w:ascii="宋体" w:hAnsi="宋体"/>
          <w:sz w:val="21"/>
          <w:szCs w:val="21"/>
        </w:rPr>
      </w:pPr>
      <w:bookmarkStart w:id="151" w:name="_Toc144459639"/>
      <w:r>
        <w:rPr>
          <w:rFonts w:ascii="宋体" w:hAnsi="宋体"/>
          <w:sz w:val="21"/>
          <w:szCs w:val="21"/>
        </w:rPr>
        <w:t xml:space="preserve">7.3  </w:t>
      </w:r>
      <w:r>
        <w:rPr>
          <w:rFonts w:hint="eastAsia" w:ascii="宋体" w:hAnsi="宋体"/>
          <w:sz w:val="21"/>
          <w:szCs w:val="21"/>
        </w:rPr>
        <w:t>总承包人需履行的责任与义务</w:t>
      </w:r>
      <w:bookmarkEnd w:id="151"/>
    </w:p>
    <w:p>
      <w:pPr>
        <w:spacing w:line="276" w:lineRule="auto"/>
        <w:ind w:firstLine="420" w:firstLineChars="200"/>
        <w:rPr>
          <w:rFonts w:ascii="宋体" w:hAnsi="宋体"/>
        </w:rPr>
      </w:pPr>
      <w:r>
        <w:rPr>
          <w:rFonts w:ascii="宋体" w:hAnsi="宋体"/>
        </w:rPr>
        <w:t xml:space="preserve">7.3.1  </w:t>
      </w:r>
      <w:r>
        <w:rPr>
          <w:rFonts w:hint="eastAsia" w:ascii="宋体" w:hAnsi="宋体"/>
        </w:rPr>
        <w:t>总承包人须对整个项目（包括发包人直接发包工程、专业分包工程）负责，并应迅速将发包人给他的工程指示中有关分包工程的部分传送给分包商，确保该类指示迅速得到执行。</w:t>
      </w:r>
    </w:p>
    <w:p>
      <w:pPr>
        <w:spacing w:line="276" w:lineRule="auto"/>
        <w:ind w:firstLine="420" w:firstLineChars="200"/>
        <w:rPr>
          <w:rFonts w:ascii="宋体" w:hAnsi="宋体"/>
        </w:rPr>
      </w:pPr>
      <w:r>
        <w:rPr>
          <w:rFonts w:ascii="宋体" w:hAnsi="宋体"/>
        </w:rPr>
        <w:t xml:space="preserve">7.3.2  </w:t>
      </w:r>
      <w:r>
        <w:rPr>
          <w:rFonts w:hint="eastAsia" w:ascii="宋体" w:hAnsi="宋体"/>
        </w:rPr>
        <w:t>总承包人应履行与发包人签订总包合同约定的责任和义务，为完成本项目所需向分包商提供配合与协调，包括但不限于：</w:t>
      </w:r>
    </w:p>
    <w:p>
      <w:pPr>
        <w:spacing w:line="276" w:lineRule="auto"/>
        <w:ind w:firstLine="420" w:firstLineChars="200"/>
        <w:rPr>
          <w:rFonts w:ascii="宋体" w:hAnsi="宋体"/>
        </w:rPr>
      </w:pPr>
      <w:r>
        <w:rPr>
          <w:rFonts w:ascii="宋体" w:hAnsi="宋体"/>
        </w:rPr>
        <w:t xml:space="preserve">7.3.2.1  </w:t>
      </w:r>
      <w:r>
        <w:rPr>
          <w:rFonts w:hint="eastAsia" w:ascii="宋体" w:hAnsi="宋体"/>
        </w:rPr>
        <w:t>总承包单位有责任组织管理和协调交叉施工中各分包人（包括发包人直接发包工程）的在施或已完工项目成品保护和现场物料的保管工作，直至工程完工并移交物业单位；在发包人直接发包工程完工并移交给总承包人后，总承包单位应采取相应的成品保护措施和防盗措施，防止已完工程损坏或被盗，对造成损失的承担赔偿责任。</w:t>
      </w:r>
    </w:p>
    <w:p>
      <w:pPr>
        <w:spacing w:line="276" w:lineRule="auto"/>
        <w:ind w:firstLine="420" w:firstLineChars="200"/>
        <w:rPr>
          <w:rFonts w:ascii="宋体" w:hAnsi="宋体"/>
        </w:rPr>
      </w:pPr>
      <w:r>
        <w:rPr>
          <w:rFonts w:ascii="宋体" w:hAnsi="宋体"/>
        </w:rPr>
        <w:t>7.3.2</w:t>
      </w:r>
      <w:r>
        <w:rPr>
          <w:rFonts w:hint="eastAsia" w:ascii="宋体" w:hAnsi="宋体"/>
        </w:rPr>
        <w:t xml:space="preserve">.2 </w:t>
      </w:r>
      <w:r>
        <w:rPr>
          <w:rFonts w:ascii="宋体" w:hAnsi="宋体"/>
        </w:rPr>
        <w:t xml:space="preserve"> </w:t>
      </w:r>
      <w:r>
        <w:rPr>
          <w:rFonts w:hint="eastAsia" w:ascii="宋体" w:hAnsi="宋体"/>
        </w:rPr>
        <w:t>总承包人负责控制工程的整体进度。总承包人负责主动安排、审核各分包工程的施工计划，协调安排好各分包人之间的配合，积极协调各分包工程的施工工序和进度计划，对各分包工程进度（包括总工期）负责。总承包人应对所有分包单位提供的施工方案与进度计划进行汇总分析，协调可能产生的矛盾，了解分包方的工程特点，尤其是影响工程进度的有关工序，要求分包方提供施工程序及时间表，对不同单位施工程序矛盾的地方作出协调，找出解决办法，并安排各分包方有效地进行工作，协调过程中发包人要给与总承包人大力支持和帮助，需要发包人协调的事项，总承包人以书面函件的形式上报发包人，发包人给与支持和帮助。</w:t>
      </w:r>
    </w:p>
    <w:p>
      <w:pPr>
        <w:spacing w:line="276" w:lineRule="auto"/>
        <w:ind w:firstLine="420" w:firstLineChars="200"/>
        <w:rPr>
          <w:rFonts w:ascii="宋体" w:hAnsi="宋体"/>
        </w:rPr>
      </w:pPr>
      <w:r>
        <w:rPr>
          <w:rFonts w:ascii="宋体" w:hAnsi="宋体"/>
        </w:rPr>
        <w:t>7.3.2</w:t>
      </w:r>
      <w:r>
        <w:rPr>
          <w:rFonts w:hint="eastAsia" w:ascii="宋体" w:hAnsi="宋体"/>
        </w:rPr>
        <w:t>.3 总承包人负责和控制工程的所有工程质量，了解分包方的施工工序和工艺，尤其是影响工程质量的材料、设备。要求分包方提供产品合格证和质保证书，确保工程质量满足设计和政府法律法规要求。</w:t>
      </w:r>
    </w:p>
    <w:p>
      <w:pPr>
        <w:spacing w:line="276" w:lineRule="auto"/>
        <w:ind w:firstLine="420" w:firstLineChars="200"/>
        <w:rPr>
          <w:rFonts w:ascii="宋体" w:hAnsi="宋体"/>
        </w:rPr>
      </w:pPr>
      <w:r>
        <w:rPr>
          <w:rFonts w:ascii="宋体" w:hAnsi="宋体"/>
        </w:rPr>
        <w:t>7.3.2</w:t>
      </w:r>
      <w:r>
        <w:rPr>
          <w:rFonts w:hint="eastAsia" w:ascii="宋体" w:hAnsi="宋体"/>
        </w:rPr>
        <w:t>.4</w:t>
      </w:r>
      <w:r>
        <w:rPr>
          <w:rFonts w:ascii="宋体" w:hAnsi="宋体"/>
        </w:rPr>
        <w:t xml:space="preserve"> </w:t>
      </w:r>
      <w:r>
        <w:rPr>
          <w:rFonts w:hint="eastAsia" w:ascii="宋体" w:hAnsi="宋体"/>
        </w:rPr>
        <w:t xml:space="preserve"> 总承包人负责和控制现场安全与文明施工，所有垃圾由各分包单位负责将垃圾清运到总承包人指定的现场垃圾站，由总承包人负责集中外运或销毁。</w:t>
      </w:r>
    </w:p>
    <w:p>
      <w:pPr>
        <w:spacing w:line="276" w:lineRule="auto"/>
        <w:ind w:firstLine="420" w:firstLineChars="200"/>
        <w:rPr>
          <w:rFonts w:ascii="宋体" w:hAnsi="宋体"/>
        </w:rPr>
      </w:pPr>
      <w:r>
        <w:rPr>
          <w:rFonts w:ascii="宋体" w:hAnsi="宋体"/>
        </w:rPr>
        <w:t>7.3.2</w:t>
      </w:r>
      <w:r>
        <w:rPr>
          <w:rFonts w:hint="eastAsia" w:ascii="宋体" w:hAnsi="宋体"/>
        </w:rPr>
        <w:t>.5</w:t>
      </w:r>
      <w:r>
        <w:rPr>
          <w:rFonts w:ascii="宋体" w:hAnsi="宋体"/>
        </w:rPr>
        <w:t xml:space="preserve">  </w:t>
      </w:r>
      <w:r>
        <w:rPr>
          <w:rFonts w:hint="eastAsia" w:ascii="宋体" w:hAnsi="宋体"/>
        </w:rPr>
        <w:t>总承包人应将发包人发布的工程指令中有关分包工程的部分迅速传达给分包单位，并确保该指令能够得到迅速执行。并按照监理单位和发包人要求提供所有分包单位的进场计划。</w:t>
      </w:r>
    </w:p>
    <w:p>
      <w:pPr>
        <w:spacing w:line="276" w:lineRule="auto"/>
        <w:ind w:firstLine="420" w:firstLineChars="200"/>
        <w:rPr>
          <w:rFonts w:ascii="宋体" w:hAnsi="宋体"/>
        </w:rPr>
      </w:pPr>
      <w:r>
        <w:rPr>
          <w:rFonts w:ascii="宋体" w:hAnsi="宋体"/>
        </w:rPr>
        <w:t>7.3.2</w:t>
      </w:r>
      <w:r>
        <w:rPr>
          <w:rFonts w:hint="eastAsia" w:ascii="宋体" w:hAnsi="宋体"/>
        </w:rPr>
        <w:t>.6 总承包人须聘请专业的保安公司对整个施工现场的安全保卫进行有效管理，总承包人对现场所有安全保卫偷盗等事项负责。</w:t>
      </w:r>
    </w:p>
    <w:p>
      <w:pPr>
        <w:spacing w:line="276" w:lineRule="auto"/>
        <w:ind w:firstLine="420" w:firstLineChars="200"/>
        <w:rPr>
          <w:rFonts w:ascii="宋体" w:hAnsi="宋体"/>
        </w:rPr>
      </w:pPr>
      <w:r>
        <w:rPr>
          <w:rFonts w:ascii="宋体" w:hAnsi="宋体"/>
        </w:rPr>
        <w:t>7.3.2</w:t>
      </w:r>
      <w:r>
        <w:rPr>
          <w:rFonts w:hint="eastAsia" w:ascii="宋体" w:hAnsi="宋体"/>
        </w:rPr>
        <w:t>.7</w:t>
      </w:r>
      <w:r>
        <w:rPr>
          <w:rFonts w:ascii="宋体" w:hAnsi="宋体"/>
        </w:rPr>
        <w:t xml:space="preserve"> </w:t>
      </w:r>
      <w:r>
        <w:rPr>
          <w:rFonts w:hint="eastAsia" w:ascii="宋体" w:hAnsi="宋体"/>
        </w:rPr>
        <w:t xml:space="preserve"> 总承包人负责建造及提供公用的临时工程和设施[临时道路、临时围墙、临时工人宿舍、临时办公室、临时库房、临时用水、临时消防设施、临时用电提供至楼层二级配电箱（含二级配电箱）、现有临时垂直运输机械、现有临时脚手架、临时安全防护设施]给发包人直接发包人和专业分包人使用。</w:t>
      </w:r>
    </w:p>
    <w:p>
      <w:pPr>
        <w:spacing w:line="276" w:lineRule="auto"/>
        <w:ind w:firstLine="420" w:firstLineChars="200"/>
        <w:rPr>
          <w:rFonts w:ascii="宋体" w:hAnsi="宋体"/>
        </w:rPr>
      </w:pPr>
      <w:r>
        <w:rPr>
          <w:rFonts w:ascii="宋体" w:hAnsi="宋体"/>
        </w:rPr>
        <w:t>7.3.2</w:t>
      </w:r>
      <w:r>
        <w:rPr>
          <w:rFonts w:hint="eastAsia" w:ascii="宋体" w:hAnsi="宋体"/>
        </w:rPr>
        <w:t>.8</w:t>
      </w:r>
      <w:r>
        <w:rPr>
          <w:rFonts w:ascii="宋体" w:hAnsi="宋体"/>
        </w:rPr>
        <w:t xml:space="preserve"> </w:t>
      </w:r>
      <w:r>
        <w:rPr>
          <w:rFonts w:hint="eastAsia" w:ascii="宋体" w:hAnsi="宋体"/>
        </w:rPr>
        <w:t xml:space="preserve"> 总承包人负责在现场，并同时提供桌椅、空调等会议设备。总承包人负责在现场提供 3 间监理办公室，每间面积 15 平方米，并配齐办公桌椅及空调设备。</w:t>
      </w:r>
    </w:p>
    <w:p>
      <w:pPr>
        <w:spacing w:line="276" w:lineRule="auto"/>
        <w:ind w:firstLine="420" w:firstLineChars="200"/>
        <w:rPr>
          <w:rFonts w:ascii="宋体" w:hAnsi="宋体"/>
        </w:rPr>
      </w:pPr>
      <w:r>
        <w:rPr>
          <w:rFonts w:hint="eastAsia" w:ascii="宋体" w:hAnsi="宋体"/>
        </w:rPr>
        <w:t>7</w:t>
      </w:r>
      <w:r>
        <w:rPr>
          <w:rFonts w:ascii="宋体" w:hAnsi="宋体"/>
        </w:rPr>
        <w:t xml:space="preserve">.3.2.9  </w:t>
      </w:r>
      <w:r>
        <w:rPr>
          <w:rFonts w:hint="eastAsia" w:ascii="宋体" w:hAnsi="宋体"/>
        </w:rPr>
        <w:t>总承包人应将甲供材料、设备等从现场指定位置运输至施工部位，此项费用已包含在投标报价中，不另外计取。</w:t>
      </w:r>
    </w:p>
    <w:p>
      <w:pPr>
        <w:spacing w:line="276" w:lineRule="auto"/>
        <w:ind w:firstLine="420" w:firstLineChars="200"/>
        <w:rPr>
          <w:rFonts w:ascii="宋体" w:hAnsi="宋体"/>
        </w:rPr>
      </w:pPr>
      <w:r>
        <w:rPr>
          <w:rFonts w:ascii="宋体" w:hAnsi="宋体"/>
        </w:rPr>
        <w:t>7.3.2</w:t>
      </w:r>
      <w:r>
        <w:rPr>
          <w:rFonts w:hint="eastAsia" w:ascii="宋体" w:hAnsi="宋体"/>
        </w:rPr>
        <w:t>.</w:t>
      </w:r>
      <w:r>
        <w:rPr>
          <w:rFonts w:ascii="宋体" w:hAnsi="宋体"/>
        </w:rPr>
        <w:t xml:space="preserve">10 </w:t>
      </w:r>
      <w:r>
        <w:rPr>
          <w:rFonts w:hint="eastAsia" w:ascii="宋体" w:hAnsi="宋体"/>
        </w:rPr>
        <w:t xml:space="preserve"> 在本项目范围内，管理、配合、协调分包、甲供材料设备、甲限品牌、限价材料设备、甲限材料设备的工作，并负责办理竣工验收。</w:t>
      </w:r>
    </w:p>
    <w:p>
      <w:pPr>
        <w:spacing w:line="276" w:lineRule="auto"/>
        <w:ind w:firstLine="420" w:firstLineChars="200"/>
        <w:rPr>
          <w:rFonts w:ascii="宋体" w:hAnsi="宋体"/>
        </w:rPr>
      </w:pPr>
      <w:r>
        <w:rPr>
          <w:rFonts w:ascii="宋体" w:hAnsi="宋体"/>
        </w:rPr>
        <w:t>7.3.2</w:t>
      </w:r>
      <w:r>
        <w:rPr>
          <w:rFonts w:hint="eastAsia" w:ascii="宋体" w:hAnsi="宋体"/>
        </w:rPr>
        <w:t>.1</w:t>
      </w:r>
      <w:r>
        <w:rPr>
          <w:rFonts w:ascii="宋体" w:hAnsi="宋体"/>
        </w:rPr>
        <w:t>1</w:t>
      </w:r>
      <w:r>
        <w:rPr>
          <w:rFonts w:hint="eastAsia" w:ascii="宋体" w:hAnsi="宋体"/>
        </w:rPr>
        <w:t xml:space="preserve"> </w:t>
      </w:r>
      <w:r>
        <w:rPr>
          <w:rFonts w:ascii="宋体" w:hAnsi="宋体"/>
        </w:rPr>
        <w:t xml:space="preserve"> </w:t>
      </w:r>
      <w:r>
        <w:rPr>
          <w:rFonts w:hint="eastAsia" w:ascii="宋体" w:hAnsi="宋体"/>
        </w:rPr>
        <w:t>总承包人协助发包人办理施工许可证、质检、安检、竣工备案以及与本项目有关的其他政府手续。</w:t>
      </w:r>
    </w:p>
    <w:p>
      <w:pPr>
        <w:spacing w:line="276" w:lineRule="auto"/>
        <w:ind w:firstLine="420" w:firstLineChars="200"/>
        <w:rPr>
          <w:rFonts w:ascii="宋体" w:hAnsi="宋体"/>
        </w:rPr>
      </w:pPr>
      <w:r>
        <w:rPr>
          <w:rFonts w:hint="eastAsia" w:ascii="宋体" w:hAnsi="宋体"/>
        </w:rPr>
        <w:t>7</w:t>
      </w:r>
      <w:r>
        <w:rPr>
          <w:rFonts w:ascii="宋体" w:hAnsi="宋体"/>
        </w:rPr>
        <w:t xml:space="preserve">.3.3  </w:t>
      </w:r>
      <w:r>
        <w:rPr>
          <w:rFonts w:hint="eastAsia" w:ascii="宋体" w:hAnsi="宋体"/>
        </w:rPr>
        <w:t>总承包工程资料管理</w:t>
      </w:r>
    </w:p>
    <w:p>
      <w:pPr>
        <w:spacing w:line="276" w:lineRule="auto"/>
        <w:ind w:firstLine="420" w:firstLineChars="200"/>
        <w:rPr>
          <w:rFonts w:ascii="宋体" w:hAnsi="宋体"/>
        </w:rPr>
      </w:pPr>
      <w:r>
        <w:rPr>
          <w:rFonts w:ascii="宋体" w:hAnsi="宋体"/>
        </w:rPr>
        <w:t>7.3.3</w:t>
      </w:r>
      <w:r>
        <w:rPr>
          <w:rFonts w:hint="eastAsia" w:ascii="宋体" w:hAnsi="宋体"/>
        </w:rPr>
        <w:t>.1</w:t>
      </w:r>
      <w:r>
        <w:rPr>
          <w:rFonts w:ascii="宋体" w:hAnsi="宋体"/>
        </w:rPr>
        <w:t xml:space="preserve"> </w:t>
      </w:r>
      <w:r>
        <w:rPr>
          <w:rFonts w:hint="eastAsia" w:ascii="宋体" w:hAnsi="宋体"/>
        </w:rPr>
        <w:t xml:space="preserve"> 总承包人应负责工程的交工验收工作，有责任进行竣工资料的收集整理，并有权要求分包单位配合。各个分包单位负责自己相关工作内容资料的收集、整理和复印，统一交总承包人装订、整理、归档并配合移交档案馆。</w:t>
      </w:r>
    </w:p>
    <w:p>
      <w:pPr>
        <w:spacing w:line="276" w:lineRule="auto"/>
        <w:ind w:firstLine="420" w:firstLineChars="200"/>
        <w:rPr>
          <w:rFonts w:ascii="宋体" w:hAnsi="宋体"/>
        </w:rPr>
      </w:pPr>
      <w:r>
        <w:rPr>
          <w:rFonts w:ascii="宋体" w:hAnsi="宋体"/>
        </w:rPr>
        <w:t>7.3.3</w:t>
      </w:r>
      <w:r>
        <w:rPr>
          <w:rFonts w:hint="eastAsia" w:ascii="宋体" w:hAnsi="宋体"/>
        </w:rPr>
        <w:t>.2</w:t>
      </w:r>
      <w:r>
        <w:rPr>
          <w:rFonts w:ascii="宋体" w:hAnsi="宋体"/>
        </w:rPr>
        <w:t xml:space="preserve"> </w:t>
      </w:r>
      <w:r>
        <w:rPr>
          <w:rFonts w:hint="eastAsia" w:ascii="宋体" w:hAnsi="宋体"/>
        </w:rPr>
        <w:t xml:space="preserve"> 总承包人须保证施工资料与工程进度同步，并保证及时、真实和有效，否则,发包人可以有权拒绝支付相应的工程款。</w:t>
      </w:r>
    </w:p>
    <w:p>
      <w:pPr>
        <w:spacing w:line="276" w:lineRule="auto"/>
        <w:ind w:firstLine="420" w:firstLineChars="200"/>
        <w:rPr>
          <w:rFonts w:ascii="宋体" w:hAnsi="宋体"/>
        </w:rPr>
      </w:pPr>
      <w:r>
        <w:rPr>
          <w:rFonts w:ascii="宋体" w:hAnsi="宋体"/>
        </w:rPr>
        <w:t>7.3.3</w:t>
      </w:r>
      <w:r>
        <w:rPr>
          <w:rFonts w:hint="eastAsia" w:ascii="宋体" w:hAnsi="宋体"/>
        </w:rPr>
        <w:t>.3</w:t>
      </w:r>
      <w:r>
        <w:rPr>
          <w:rFonts w:ascii="宋体" w:hAnsi="宋体"/>
        </w:rPr>
        <w:t xml:space="preserve"> </w:t>
      </w:r>
      <w:r>
        <w:rPr>
          <w:rFonts w:hint="eastAsia" w:ascii="宋体" w:hAnsi="宋体"/>
        </w:rPr>
        <w:t xml:space="preserve"> 工程竣工验收前最后一次工程款付款的前提条件之一：工程资料已经按照要求整理成册、组卷装盒完毕并交付给发包方</w:t>
      </w:r>
    </w:p>
    <w:p>
      <w:pPr>
        <w:spacing w:line="276" w:lineRule="auto"/>
        <w:ind w:firstLine="420" w:firstLineChars="200"/>
        <w:rPr>
          <w:rFonts w:ascii="宋体" w:hAnsi="宋体"/>
        </w:rPr>
      </w:pPr>
      <w:r>
        <w:rPr>
          <w:rFonts w:ascii="宋体" w:hAnsi="宋体"/>
        </w:rPr>
        <w:t>7.3.3</w:t>
      </w:r>
      <w:r>
        <w:rPr>
          <w:rFonts w:hint="eastAsia" w:ascii="宋体" w:hAnsi="宋体"/>
        </w:rPr>
        <w:t xml:space="preserve">.4 </w:t>
      </w:r>
      <w:r>
        <w:rPr>
          <w:rFonts w:ascii="宋体" w:hAnsi="宋体"/>
        </w:rPr>
        <w:t xml:space="preserve"> </w:t>
      </w:r>
      <w:r>
        <w:rPr>
          <w:rFonts w:hint="eastAsia" w:ascii="宋体" w:hAnsi="宋体"/>
        </w:rPr>
        <w:t>总承包人将工程竣工资料交给发包方后，还需要修订的，须在发包方指定地点进行。修订过程须监理单位有关人员旁站，目在发包方有效监视下进行。</w:t>
      </w:r>
    </w:p>
    <w:p>
      <w:pPr>
        <w:spacing w:line="276" w:lineRule="auto"/>
        <w:ind w:firstLine="420" w:firstLineChars="200"/>
        <w:rPr>
          <w:rFonts w:ascii="宋体" w:hAnsi="宋体"/>
        </w:rPr>
      </w:pPr>
      <w:r>
        <w:rPr>
          <w:rFonts w:ascii="宋体" w:hAnsi="宋体"/>
        </w:rPr>
        <w:t xml:space="preserve">7.3.4  </w:t>
      </w:r>
      <w:r>
        <w:rPr>
          <w:rFonts w:hint="eastAsia" w:ascii="宋体" w:hAnsi="宋体"/>
        </w:rPr>
        <w:t>总承包人对所有分包单位须承担以下各项义务，主要包括但不限于下列项目：</w:t>
      </w:r>
    </w:p>
    <w:p>
      <w:pPr>
        <w:spacing w:line="276" w:lineRule="auto"/>
        <w:ind w:firstLine="420" w:firstLineChars="200"/>
        <w:rPr>
          <w:rFonts w:ascii="宋体" w:hAnsi="宋体"/>
        </w:rPr>
      </w:pPr>
      <w:r>
        <w:rPr>
          <w:rFonts w:ascii="宋体" w:hAnsi="宋体"/>
        </w:rPr>
        <w:t>7.3.4</w:t>
      </w:r>
      <w:r>
        <w:rPr>
          <w:rFonts w:hint="eastAsia" w:ascii="宋体" w:hAnsi="宋体"/>
        </w:rPr>
        <w:t>.1</w:t>
      </w:r>
      <w:r>
        <w:rPr>
          <w:rFonts w:ascii="宋体" w:hAnsi="宋体"/>
        </w:rPr>
        <w:t xml:space="preserve"> </w:t>
      </w:r>
      <w:r>
        <w:rPr>
          <w:rFonts w:hint="eastAsia" w:ascii="宋体" w:hAnsi="宋体"/>
        </w:rPr>
        <w:t>总承包人须负责给分包单位提供准确的水准点和轴线控制点，并对各分包人由标高及控制轴线导出的控制线、控制点进行校核，并在使用期间定期复核。总承包人需主动与各分包人核对各专业图纸间的需要统一的尺寸、标高等，保证各专业图纸间无冲突。</w:t>
      </w:r>
    </w:p>
    <w:p>
      <w:pPr>
        <w:spacing w:line="276" w:lineRule="auto"/>
        <w:ind w:firstLine="420" w:firstLineChars="200"/>
        <w:rPr>
          <w:rFonts w:ascii="宋体" w:hAnsi="宋体"/>
        </w:rPr>
      </w:pPr>
      <w:r>
        <w:rPr>
          <w:rFonts w:ascii="宋体" w:hAnsi="宋体"/>
        </w:rPr>
        <w:t>7.3.4</w:t>
      </w:r>
      <w:r>
        <w:rPr>
          <w:rFonts w:hint="eastAsia" w:ascii="宋体" w:hAnsi="宋体"/>
        </w:rPr>
        <w:t xml:space="preserve">.2 </w:t>
      </w:r>
      <w:r>
        <w:rPr>
          <w:rFonts w:ascii="宋体" w:hAnsi="宋体"/>
        </w:rPr>
        <w:t xml:space="preserve"> </w:t>
      </w:r>
      <w:r>
        <w:rPr>
          <w:rFonts w:hint="eastAsia" w:ascii="宋体" w:hAnsi="宋体"/>
        </w:rPr>
        <w:t>总承包人须负责因其协调各分包单位、或在设计及设备安装工作中失误所导致的修整工作的费用，并赔偿发包人因此而蒙受的各项经济损失。</w:t>
      </w:r>
    </w:p>
    <w:p>
      <w:pPr>
        <w:spacing w:line="276" w:lineRule="auto"/>
        <w:ind w:firstLine="420" w:firstLineChars="200"/>
        <w:rPr>
          <w:rFonts w:ascii="宋体" w:hAnsi="宋体"/>
        </w:rPr>
      </w:pPr>
      <w:r>
        <w:rPr>
          <w:rFonts w:ascii="宋体" w:hAnsi="宋体"/>
        </w:rPr>
        <w:t>7.3.4</w:t>
      </w:r>
      <w:r>
        <w:rPr>
          <w:rFonts w:hint="eastAsia" w:ascii="宋体" w:hAnsi="宋体"/>
        </w:rPr>
        <w:t xml:space="preserve">.3 </w:t>
      </w:r>
      <w:r>
        <w:rPr>
          <w:rFonts w:ascii="宋体" w:hAnsi="宋体"/>
        </w:rPr>
        <w:t xml:space="preserve"> </w:t>
      </w:r>
      <w:r>
        <w:rPr>
          <w:rFonts w:hint="eastAsia" w:ascii="宋体" w:hAnsi="宋体"/>
        </w:rPr>
        <w:t>负责提供、开通或加固、维护现场施工通道，在现场通道上搭设硬质安全防护（如需要）。负责维护现场的围墙及其它临时设施并在不需要的时候拆除。为专业分包人施工期间提供必要的安全防护措施，具体应执行当地建设行政主管部门相关文件规定。</w:t>
      </w:r>
    </w:p>
    <w:p>
      <w:pPr>
        <w:spacing w:line="276" w:lineRule="auto"/>
        <w:ind w:firstLine="420" w:firstLineChars="200"/>
        <w:rPr>
          <w:rFonts w:ascii="宋体" w:hAnsi="宋体"/>
        </w:rPr>
      </w:pPr>
      <w:r>
        <w:rPr>
          <w:rFonts w:ascii="宋体" w:hAnsi="宋体"/>
        </w:rPr>
        <w:t>7.3.4</w:t>
      </w:r>
      <w:r>
        <w:rPr>
          <w:rFonts w:hint="eastAsia" w:ascii="宋体" w:hAnsi="宋体"/>
        </w:rPr>
        <w:t xml:space="preserve">.4 </w:t>
      </w:r>
      <w:r>
        <w:rPr>
          <w:rFonts w:ascii="宋体" w:hAnsi="宋体"/>
        </w:rPr>
        <w:t xml:space="preserve"> </w:t>
      </w:r>
      <w:r>
        <w:rPr>
          <w:rFonts w:hint="eastAsia" w:ascii="宋体" w:hAnsi="宋体"/>
        </w:rPr>
        <w:t>负责提供已安装在现场的施工机械、脚手架 （不得借用结构施工用脚手架，并应满足电梯安装的要求，如果有）、爬梯、工作平台、塔吊、外运电梯及其它设备供各分包人使用，协调各专业分包人对大型临时机械及临时设施等共用资源的使用，上述设备的使用期应充分考虑分包工程或独立工程的工期情况，总承包人在上述设备拆除前须征得发包人同意。</w:t>
      </w:r>
    </w:p>
    <w:p>
      <w:pPr>
        <w:spacing w:line="276" w:lineRule="auto"/>
        <w:ind w:firstLine="420" w:firstLineChars="200"/>
        <w:rPr>
          <w:rFonts w:ascii="宋体" w:hAnsi="宋体"/>
        </w:rPr>
      </w:pPr>
      <w:r>
        <w:rPr>
          <w:rFonts w:ascii="宋体" w:hAnsi="宋体"/>
        </w:rPr>
        <w:t>7.3.4</w:t>
      </w:r>
      <w:r>
        <w:rPr>
          <w:rFonts w:hint="eastAsia" w:ascii="宋体" w:hAnsi="宋体"/>
        </w:rPr>
        <w:t xml:space="preserve">.5 </w:t>
      </w:r>
      <w:r>
        <w:rPr>
          <w:rFonts w:ascii="宋体" w:hAnsi="宋体"/>
        </w:rPr>
        <w:t xml:space="preserve"> </w:t>
      </w:r>
      <w:r>
        <w:rPr>
          <w:rFonts w:hint="eastAsia" w:ascii="宋体" w:hAnsi="宋体"/>
        </w:rPr>
        <w:t>按合同规定由总承包人预埋（留）或暗配的各分包专业的管线、埋件、洞口凹槽等，总承包人应按施工图纸、交底会审纪要、设计变更通知单及规范要求进行预埋（留）或暗配。负责各分包工程的预埋件安装，负责各分包人在结构（含二次结构）剔凿、埋管后的修补工作等。负责提供各分包人设备安装所需之土建基座。</w:t>
      </w:r>
    </w:p>
    <w:p>
      <w:pPr>
        <w:spacing w:line="276" w:lineRule="auto"/>
        <w:ind w:firstLine="420" w:firstLineChars="200"/>
        <w:rPr>
          <w:rFonts w:ascii="宋体" w:hAnsi="宋体"/>
        </w:rPr>
      </w:pPr>
      <w:r>
        <w:rPr>
          <w:rFonts w:ascii="宋体" w:hAnsi="宋体"/>
        </w:rPr>
        <w:t>7.3.4</w:t>
      </w:r>
      <w:r>
        <w:rPr>
          <w:rFonts w:hint="eastAsia" w:ascii="宋体" w:hAnsi="宋体"/>
        </w:rPr>
        <w:t xml:space="preserve">.6 </w:t>
      </w:r>
      <w:r>
        <w:rPr>
          <w:rFonts w:ascii="宋体" w:hAnsi="宋体"/>
        </w:rPr>
        <w:t xml:space="preserve"> </w:t>
      </w:r>
      <w:r>
        <w:rPr>
          <w:rFonts w:hint="eastAsia" w:ascii="宋体" w:hAnsi="宋体"/>
        </w:rPr>
        <w:t>总承包人须负责给分包单位提供合理距离的水源和电源。在工程期间提供足够的临时用水容量及临时照明及电力和实验所需负荷，并在各楼层指定区域提供水电接驳点，保证供电不间断（必要时提供临时发电机组）、冬季供水不结冰。由水、电接驳点引至使用区域的费用由各分包人负责。总承包人还必须负责各分包人的临时设施水电布置和供应工作。总承包人还应负责相应的日常维护</w:t>
      </w:r>
    </w:p>
    <w:p>
      <w:pPr>
        <w:spacing w:line="276" w:lineRule="auto"/>
        <w:ind w:firstLine="420" w:firstLineChars="200"/>
        <w:rPr>
          <w:rFonts w:ascii="宋体" w:hAnsi="宋体"/>
        </w:rPr>
      </w:pPr>
      <w:r>
        <w:rPr>
          <w:rFonts w:ascii="宋体" w:hAnsi="宋体"/>
        </w:rPr>
        <w:t>7.3.4</w:t>
      </w:r>
      <w:r>
        <w:rPr>
          <w:rFonts w:hint="eastAsia" w:ascii="宋体" w:hAnsi="宋体"/>
        </w:rPr>
        <w:t xml:space="preserve">.7 </w:t>
      </w:r>
      <w:r>
        <w:rPr>
          <w:rFonts w:ascii="宋体" w:hAnsi="宋体"/>
        </w:rPr>
        <w:t xml:space="preserve"> </w:t>
      </w:r>
      <w:r>
        <w:rPr>
          <w:rFonts w:hint="eastAsia" w:ascii="宋体" w:hAnsi="宋体"/>
        </w:rPr>
        <w:t>总承包人须积极配合、组织发包人直接发包单位进场，并及时给各分包人提供的施工场地和工作面，满足作业面交接技术要求，包括工作面修补，保持清洁，并防止施工期间水和垃圾的侵入。各分包人进场前，总承包人应同其办理施工场地、工作面的交接手续并办理移交。</w:t>
      </w:r>
    </w:p>
    <w:p>
      <w:pPr>
        <w:spacing w:line="276" w:lineRule="auto"/>
        <w:ind w:firstLine="420" w:firstLineChars="200"/>
        <w:rPr>
          <w:rFonts w:ascii="宋体" w:hAnsi="宋体"/>
        </w:rPr>
      </w:pPr>
      <w:r>
        <w:rPr>
          <w:rFonts w:ascii="宋体" w:hAnsi="宋体"/>
        </w:rPr>
        <w:t>7.3.4</w:t>
      </w:r>
      <w:r>
        <w:rPr>
          <w:rFonts w:hint="eastAsia" w:ascii="宋体" w:hAnsi="宋体"/>
        </w:rPr>
        <w:t xml:space="preserve">.8 </w:t>
      </w:r>
      <w:r>
        <w:rPr>
          <w:rFonts w:ascii="宋体" w:hAnsi="宋体"/>
        </w:rPr>
        <w:t xml:space="preserve"> </w:t>
      </w:r>
      <w:r>
        <w:rPr>
          <w:rFonts w:hint="eastAsia" w:ascii="宋体" w:hAnsi="宋体"/>
        </w:rPr>
        <w:t>应提供用于施工及发包人现场检查的照明设备，包括照明线路、照明灯具，在正常施工时间内及发包人批准的抢工时间内保证照明系统处于正常使用状态。</w:t>
      </w:r>
    </w:p>
    <w:p>
      <w:pPr>
        <w:spacing w:line="276" w:lineRule="auto"/>
        <w:ind w:firstLine="420" w:firstLineChars="200"/>
        <w:rPr>
          <w:rFonts w:ascii="宋体" w:hAnsi="宋体"/>
        </w:rPr>
      </w:pPr>
      <w:r>
        <w:rPr>
          <w:rFonts w:ascii="宋体" w:hAnsi="宋体"/>
        </w:rPr>
        <w:t>7.3.4</w:t>
      </w:r>
      <w:r>
        <w:rPr>
          <w:rFonts w:hint="eastAsia" w:ascii="宋体" w:hAnsi="宋体"/>
        </w:rPr>
        <w:t xml:space="preserve">.9 </w:t>
      </w:r>
      <w:r>
        <w:rPr>
          <w:rFonts w:ascii="宋体" w:hAnsi="宋体"/>
        </w:rPr>
        <w:t xml:space="preserve"> </w:t>
      </w:r>
      <w:r>
        <w:rPr>
          <w:rFonts w:hint="eastAsia" w:ascii="宋体" w:hAnsi="宋体"/>
        </w:rPr>
        <w:t>总承包人应采取措施避免现场出现打架、斗殴以及赌博等不良现象，并负责管理。</w:t>
      </w:r>
    </w:p>
    <w:p>
      <w:pPr>
        <w:spacing w:line="276" w:lineRule="auto"/>
        <w:ind w:firstLine="420" w:firstLineChars="200"/>
        <w:rPr>
          <w:rFonts w:ascii="宋体" w:hAnsi="宋体"/>
        </w:rPr>
      </w:pPr>
      <w:r>
        <w:rPr>
          <w:rFonts w:ascii="宋体" w:hAnsi="宋体"/>
        </w:rPr>
        <w:t>7.3.4</w:t>
      </w:r>
      <w:r>
        <w:rPr>
          <w:rFonts w:hint="eastAsia" w:ascii="宋体" w:hAnsi="宋体"/>
        </w:rPr>
        <w:t xml:space="preserve">.10 </w:t>
      </w:r>
      <w:r>
        <w:rPr>
          <w:rFonts w:ascii="宋体" w:hAnsi="宋体"/>
        </w:rPr>
        <w:t xml:space="preserve"> </w:t>
      </w:r>
      <w:r>
        <w:rPr>
          <w:rFonts w:hint="eastAsia" w:ascii="宋体" w:hAnsi="宋体"/>
        </w:rPr>
        <w:t>提供设备安装就位通道，审核一切运输永久设备之通道的宽度及高度是否适合，并在需要时预留或剔凿，安装就位后恢复。</w:t>
      </w:r>
    </w:p>
    <w:p>
      <w:pPr>
        <w:spacing w:line="276" w:lineRule="auto"/>
        <w:ind w:firstLine="420" w:firstLineChars="200"/>
        <w:rPr>
          <w:rFonts w:ascii="宋体" w:hAnsi="宋体"/>
        </w:rPr>
      </w:pPr>
      <w:r>
        <w:rPr>
          <w:rFonts w:ascii="宋体" w:hAnsi="宋体"/>
        </w:rPr>
        <w:t>7.3.4</w:t>
      </w:r>
      <w:r>
        <w:rPr>
          <w:rFonts w:hint="eastAsia" w:ascii="宋体" w:hAnsi="宋体"/>
        </w:rPr>
        <w:t xml:space="preserve">.11 </w:t>
      </w:r>
      <w:r>
        <w:rPr>
          <w:rFonts w:ascii="宋体" w:hAnsi="宋体"/>
        </w:rPr>
        <w:t xml:space="preserve"> </w:t>
      </w:r>
      <w:r>
        <w:rPr>
          <w:rFonts w:hint="eastAsia" w:ascii="宋体" w:hAnsi="宋体"/>
        </w:rPr>
        <w:t>为各专业提供测试及单机或联动调试时所需的一切配合工作。</w:t>
      </w:r>
    </w:p>
    <w:p>
      <w:pPr>
        <w:spacing w:line="276" w:lineRule="auto"/>
        <w:ind w:firstLine="420" w:firstLineChars="200"/>
        <w:rPr>
          <w:rFonts w:ascii="宋体" w:hAnsi="宋体"/>
        </w:rPr>
      </w:pPr>
      <w:r>
        <w:rPr>
          <w:rFonts w:ascii="宋体" w:hAnsi="宋体"/>
        </w:rPr>
        <w:t>7.3.4</w:t>
      </w:r>
      <w:r>
        <w:rPr>
          <w:rFonts w:hint="eastAsia" w:ascii="宋体" w:hAnsi="宋体"/>
        </w:rPr>
        <w:t xml:space="preserve">.12 </w:t>
      </w:r>
      <w:r>
        <w:rPr>
          <w:rFonts w:ascii="宋体" w:hAnsi="宋体"/>
        </w:rPr>
        <w:t xml:space="preserve"> </w:t>
      </w:r>
      <w:r>
        <w:rPr>
          <w:rFonts w:hint="eastAsia" w:ascii="宋体" w:hAnsi="宋体"/>
        </w:rPr>
        <w:t>总承包人应在分包人因工程需要或自身工作条件限制，为了保证工期和质量向总承包人提出额外请求并承担费用的前提下，总承包人有义务提供配合分包施工或修补缺陷所需的支持。</w:t>
      </w:r>
    </w:p>
    <w:p>
      <w:pPr>
        <w:spacing w:line="276" w:lineRule="auto"/>
        <w:ind w:firstLine="420" w:firstLineChars="200"/>
        <w:rPr>
          <w:rFonts w:ascii="宋体" w:hAnsi="宋体"/>
        </w:rPr>
      </w:pPr>
      <w:r>
        <w:rPr>
          <w:rFonts w:ascii="宋体" w:hAnsi="宋体"/>
        </w:rPr>
        <w:t>7.3.4</w:t>
      </w:r>
      <w:r>
        <w:rPr>
          <w:rFonts w:hint="eastAsia" w:ascii="宋体" w:hAnsi="宋体"/>
        </w:rPr>
        <w:t>.13</w:t>
      </w:r>
      <w:r>
        <w:rPr>
          <w:rFonts w:ascii="宋体" w:hAnsi="宋体"/>
        </w:rPr>
        <w:t xml:space="preserve"> </w:t>
      </w:r>
      <w:r>
        <w:rPr>
          <w:rFonts w:hint="eastAsia" w:ascii="宋体" w:hAnsi="宋体"/>
        </w:rPr>
        <w:t xml:space="preserve"> 总承包人提供及共同使用工地内外的临时道路，并提供合理施工所需之场地及施工作业空间。</w:t>
      </w:r>
    </w:p>
    <w:p>
      <w:pPr>
        <w:spacing w:line="276" w:lineRule="auto"/>
        <w:ind w:firstLine="420" w:firstLineChars="200"/>
        <w:rPr>
          <w:rFonts w:ascii="宋体" w:hAnsi="宋体"/>
        </w:rPr>
      </w:pPr>
      <w:r>
        <w:rPr>
          <w:rFonts w:ascii="宋体" w:hAnsi="宋体"/>
        </w:rPr>
        <w:t>7.3.4</w:t>
      </w:r>
      <w:r>
        <w:rPr>
          <w:rFonts w:hint="eastAsia" w:ascii="宋体" w:hAnsi="宋体"/>
        </w:rPr>
        <w:t xml:space="preserve">.14 </w:t>
      </w:r>
      <w:r>
        <w:rPr>
          <w:rFonts w:ascii="宋体" w:hAnsi="宋体"/>
        </w:rPr>
        <w:t xml:space="preserve"> </w:t>
      </w:r>
      <w:r>
        <w:rPr>
          <w:rFonts w:hint="eastAsia" w:ascii="宋体" w:hAnsi="宋体"/>
        </w:rPr>
        <w:t>为现场安全所需的围土墙、护网 （板） 等物品提供监管、维护等保障服务</w:t>
      </w:r>
    </w:p>
    <w:p>
      <w:pPr>
        <w:spacing w:line="276" w:lineRule="auto"/>
        <w:ind w:firstLine="420" w:firstLineChars="200"/>
        <w:rPr>
          <w:rFonts w:ascii="宋体" w:hAnsi="宋体"/>
        </w:rPr>
      </w:pPr>
      <w:r>
        <w:rPr>
          <w:rFonts w:ascii="宋体" w:hAnsi="宋体"/>
        </w:rPr>
        <w:t>7.3.4</w:t>
      </w:r>
      <w:r>
        <w:rPr>
          <w:rFonts w:hint="eastAsia" w:ascii="宋体" w:hAnsi="宋体"/>
        </w:rPr>
        <w:t xml:space="preserve">.15 </w:t>
      </w:r>
      <w:r>
        <w:rPr>
          <w:rFonts w:ascii="宋体" w:hAnsi="宋体"/>
        </w:rPr>
        <w:t xml:space="preserve"> </w:t>
      </w:r>
      <w:r>
        <w:rPr>
          <w:rFonts w:hint="eastAsia" w:ascii="宋体" w:hAnsi="宋体"/>
        </w:rPr>
        <w:t>允许分包单位合理使用总承包人设在现场的卫生设施。</w:t>
      </w:r>
    </w:p>
    <w:p>
      <w:pPr>
        <w:spacing w:line="276" w:lineRule="auto"/>
        <w:ind w:firstLine="420" w:firstLineChars="200"/>
        <w:rPr>
          <w:rFonts w:ascii="宋体" w:hAnsi="宋体"/>
        </w:rPr>
      </w:pPr>
      <w:r>
        <w:rPr>
          <w:rFonts w:ascii="宋体" w:hAnsi="宋体"/>
        </w:rPr>
        <w:t>7.3.4</w:t>
      </w:r>
      <w:r>
        <w:rPr>
          <w:rFonts w:hint="eastAsia" w:ascii="宋体" w:hAnsi="宋体"/>
        </w:rPr>
        <w:t>.16</w:t>
      </w:r>
      <w:r>
        <w:rPr>
          <w:rFonts w:ascii="宋体" w:hAnsi="宋体"/>
        </w:rPr>
        <w:t xml:space="preserve"> </w:t>
      </w:r>
      <w:r>
        <w:rPr>
          <w:rFonts w:hint="eastAsia" w:ascii="宋体" w:hAnsi="宋体"/>
        </w:rPr>
        <w:t xml:space="preserve"> 总承包人应全面负责发包人直接发包工程组织和协调工作。</w:t>
      </w:r>
    </w:p>
    <w:p>
      <w:pPr>
        <w:spacing w:line="276" w:lineRule="auto"/>
        <w:ind w:firstLine="420" w:firstLineChars="200"/>
        <w:rPr>
          <w:rFonts w:ascii="宋体" w:hAnsi="宋体"/>
        </w:rPr>
      </w:pPr>
      <w:r>
        <w:rPr>
          <w:rFonts w:ascii="宋体" w:hAnsi="宋体"/>
        </w:rPr>
        <w:t>7.3.4</w:t>
      </w:r>
      <w:r>
        <w:rPr>
          <w:rFonts w:hint="eastAsia" w:ascii="宋体" w:hAnsi="宋体"/>
        </w:rPr>
        <w:t>.17</w:t>
      </w:r>
      <w:r>
        <w:rPr>
          <w:rFonts w:ascii="宋体" w:hAnsi="宋体"/>
        </w:rPr>
        <w:t xml:space="preserve"> </w:t>
      </w:r>
      <w:r>
        <w:rPr>
          <w:rFonts w:hint="eastAsia" w:ascii="宋体" w:hAnsi="宋体"/>
        </w:rPr>
        <w:t xml:space="preserve"> 总承包人在各分项工程施工前须与每一个分包方联系，以求了解分包方在该分项工程上的特殊要求，如开槽、预留孔洞、预埋件等。如未做这项工作而导致额外的施工费用，将由总承包人自行承担。</w:t>
      </w:r>
    </w:p>
    <w:p>
      <w:pPr>
        <w:spacing w:line="276" w:lineRule="auto"/>
        <w:ind w:firstLine="420" w:firstLineChars="200"/>
        <w:rPr>
          <w:rFonts w:ascii="宋体" w:hAnsi="宋体"/>
        </w:rPr>
      </w:pPr>
      <w:r>
        <w:rPr>
          <w:rFonts w:ascii="宋体" w:hAnsi="宋体"/>
        </w:rPr>
        <w:t>7.3.4</w:t>
      </w:r>
      <w:r>
        <w:rPr>
          <w:rFonts w:hint="eastAsia" w:ascii="宋体" w:hAnsi="宋体"/>
        </w:rPr>
        <w:t>.18</w:t>
      </w:r>
      <w:r>
        <w:rPr>
          <w:rFonts w:ascii="宋体" w:hAnsi="宋体"/>
        </w:rPr>
        <w:t xml:space="preserve"> </w:t>
      </w:r>
      <w:r>
        <w:rPr>
          <w:rFonts w:hint="eastAsia" w:ascii="宋体" w:hAnsi="宋体"/>
        </w:rPr>
        <w:t xml:space="preserve"> 在每次浇筑混凝前，总承包人与分包单位联系以确定须预埋的套管、墙管预埋件、预留的孔洞、槽口等，并为分包商做好这类工作。另外，应给分包单位足够的时间去放置电缆、电线套管、预埋配件等其它类似的工作。</w:t>
      </w:r>
    </w:p>
    <w:p>
      <w:pPr>
        <w:spacing w:line="276" w:lineRule="auto"/>
        <w:ind w:firstLine="420" w:firstLineChars="200"/>
        <w:rPr>
          <w:rFonts w:ascii="宋体" w:hAnsi="宋体"/>
        </w:rPr>
      </w:pPr>
      <w:r>
        <w:rPr>
          <w:rFonts w:ascii="宋体" w:hAnsi="宋体"/>
        </w:rPr>
        <w:t>7.3.4</w:t>
      </w:r>
      <w:r>
        <w:rPr>
          <w:rFonts w:hint="eastAsia" w:ascii="宋体" w:hAnsi="宋体"/>
        </w:rPr>
        <w:t xml:space="preserve">.19 </w:t>
      </w:r>
      <w:r>
        <w:rPr>
          <w:rFonts w:ascii="宋体" w:hAnsi="宋体"/>
        </w:rPr>
        <w:t xml:space="preserve"> </w:t>
      </w:r>
      <w:r>
        <w:rPr>
          <w:rFonts w:hint="eastAsia" w:ascii="宋体" w:hAnsi="宋体"/>
        </w:rPr>
        <w:t>因发包人销售需要进行样板间施工的，总承包单位需要无条件配合，相应费用进行调整。</w:t>
      </w:r>
    </w:p>
    <w:p>
      <w:pPr>
        <w:spacing w:line="276" w:lineRule="auto"/>
        <w:ind w:firstLine="420" w:firstLineChars="200"/>
        <w:rPr>
          <w:rFonts w:ascii="宋体" w:hAnsi="宋体"/>
        </w:rPr>
      </w:pPr>
      <w:r>
        <w:rPr>
          <w:rFonts w:ascii="宋体" w:hAnsi="宋体"/>
        </w:rPr>
        <w:t>7.3.4</w:t>
      </w:r>
      <w:r>
        <w:rPr>
          <w:rFonts w:hint="eastAsia" w:ascii="宋体" w:hAnsi="宋体"/>
        </w:rPr>
        <w:t xml:space="preserve">.20 </w:t>
      </w:r>
      <w:r>
        <w:rPr>
          <w:rFonts w:ascii="宋体" w:hAnsi="宋体"/>
        </w:rPr>
        <w:t xml:space="preserve"> </w:t>
      </w:r>
      <w:r>
        <w:rPr>
          <w:rFonts w:hint="eastAsia" w:ascii="宋体" w:hAnsi="宋体"/>
        </w:rPr>
        <w:t>总承包人须采取措施对各种管线穿外墙、楼板进行防水封堵，确保无渗漏。</w:t>
      </w:r>
    </w:p>
    <w:p>
      <w:pPr>
        <w:spacing w:line="276" w:lineRule="auto"/>
        <w:ind w:firstLine="420" w:firstLineChars="200"/>
        <w:rPr>
          <w:rFonts w:ascii="宋体" w:hAnsi="宋体"/>
        </w:rPr>
      </w:pPr>
      <w:r>
        <w:rPr>
          <w:rFonts w:ascii="宋体" w:hAnsi="宋体"/>
        </w:rPr>
        <w:t>7.3.4</w:t>
      </w:r>
      <w:r>
        <w:rPr>
          <w:rFonts w:hint="eastAsia" w:ascii="宋体" w:hAnsi="宋体"/>
        </w:rPr>
        <w:t xml:space="preserve">.21 </w:t>
      </w:r>
      <w:r>
        <w:rPr>
          <w:rFonts w:ascii="宋体" w:hAnsi="宋体"/>
        </w:rPr>
        <w:t xml:space="preserve"> </w:t>
      </w:r>
      <w:r>
        <w:rPr>
          <w:rFonts w:hint="eastAsia" w:ascii="宋体" w:hAnsi="宋体"/>
        </w:rPr>
        <w:t>总承包人还须负责对分包工程完工后的填补与修复工作。</w:t>
      </w:r>
    </w:p>
    <w:p>
      <w:pPr>
        <w:spacing w:line="276" w:lineRule="auto"/>
        <w:ind w:firstLine="420" w:firstLineChars="200"/>
        <w:rPr>
          <w:rFonts w:ascii="宋体" w:hAnsi="宋体"/>
        </w:rPr>
      </w:pPr>
      <w:r>
        <w:rPr>
          <w:rFonts w:ascii="宋体" w:hAnsi="宋体"/>
        </w:rPr>
        <w:t xml:space="preserve">7.3.5  </w:t>
      </w:r>
      <w:r>
        <w:rPr>
          <w:rFonts w:hint="eastAsia" w:ascii="宋体" w:hAnsi="宋体"/>
        </w:rPr>
        <w:t>总承包人对电梯安装工程的服务配合义务除上述要求外还包括但不限于以下内容：</w:t>
      </w:r>
    </w:p>
    <w:p>
      <w:pPr>
        <w:spacing w:line="276" w:lineRule="auto"/>
        <w:ind w:firstLine="420" w:firstLineChars="200"/>
        <w:rPr>
          <w:rFonts w:ascii="宋体" w:hAnsi="宋体"/>
        </w:rPr>
      </w:pPr>
      <w:r>
        <w:rPr>
          <w:rFonts w:ascii="宋体" w:hAnsi="宋体"/>
        </w:rPr>
        <w:t>7.3.5</w:t>
      </w:r>
      <w:r>
        <w:rPr>
          <w:rFonts w:hint="eastAsia" w:ascii="宋体" w:hAnsi="宋体"/>
        </w:rPr>
        <w:t>.1</w:t>
      </w:r>
      <w:r>
        <w:rPr>
          <w:rFonts w:ascii="宋体" w:hAnsi="宋体"/>
        </w:rPr>
        <w:t xml:space="preserve"> </w:t>
      </w:r>
      <w:r>
        <w:rPr>
          <w:rFonts w:hint="eastAsia" w:ascii="宋体" w:hAnsi="宋体"/>
        </w:rPr>
        <w:t xml:space="preserve"> 电梯安装前井道作业面的提供；</w:t>
      </w:r>
    </w:p>
    <w:p>
      <w:pPr>
        <w:spacing w:line="276" w:lineRule="auto"/>
        <w:ind w:firstLine="420" w:firstLineChars="200"/>
        <w:rPr>
          <w:rFonts w:ascii="宋体" w:hAnsi="宋体"/>
        </w:rPr>
      </w:pPr>
      <w:r>
        <w:rPr>
          <w:rFonts w:ascii="宋体" w:hAnsi="宋体"/>
        </w:rPr>
        <w:t>7.3.5</w:t>
      </w:r>
      <w:r>
        <w:rPr>
          <w:rFonts w:hint="eastAsia" w:ascii="宋体" w:hAnsi="宋体"/>
        </w:rPr>
        <w:t xml:space="preserve">.2 </w:t>
      </w:r>
      <w:r>
        <w:rPr>
          <w:rFonts w:ascii="宋体" w:hAnsi="宋体"/>
        </w:rPr>
        <w:t xml:space="preserve"> </w:t>
      </w:r>
      <w:r>
        <w:rPr>
          <w:rFonts w:hint="eastAsia" w:ascii="宋体" w:hAnsi="宋体"/>
        </w:rPr>
        <w:t>电梯井垃圾及污水的及时清理；</w:t>
      </w:r>
    </w:p>
    <w:p>
      <w:pPr>
        <w:spacing w:line="276" w:lineRule="auto"/>
        <w:ind w:firstLine="420" w:firstLineChars="200"/>
        <w:rPr>
          <w:rFonts w:ascii="宋体" w:hAnsi="宋体"/>
        </w:rPr>
      </w:pPr>
      <w:r>
        <w:rPr>
          <w:rFonts w:ascii="宋体" w:hAnsi="宋体"/>
        </w:rPr>
        <w:t>7.3.5</w:t>
      </w:r>
      <w:r>
        <w:rPr>
          <w:rFonts w:hint="eastAsia" w:ascii="宋体" w:hAnsi="宋体"/>
        </w:rPr>
        <w:t xml:space="preserve">.3 </w:t>
      </w:r>
      <w:r>
        <w:rPr>
          <w:rFonts w:ascii="宋体" w:hAnsi="宋体"/>
        </w:rPr>
        <w:t xml:space="preserve"> </w:t>
      </w:r>
      <w:r>
        <w:rPr>
          <w:rFonts w:hint="eastAsia" w:ascii="宋体" w:hAnsi="宋体"/>
        </w:rPr>
        <w:t>在电梯进行安装及调试期间，提供单独独立的临时电源至电梯机房内（设临时标准配电箱，不应与其余施工电源混用）供电梯安装单位进行调试及试运行用；</w:t>
      </w:r>
    </w:p>
    <w:p>
      <w:pPr>
        <w:spacing w:line="276" w:lineRule="auto"/>
        <w:ind w:firstLine="420" w:firstLineChars="200"/>
        <w:rPr>
          <w:rFonts w:ascii="宋体" w:hAnsi="宋体"/>
        </w:rPr>
      </w:pPr>
      <w:r>
        <w:rPr>
          <w:rFonts w:ascii="宋体" w:hAnsi="宋体"/>
        </w:rPr>
        <w:t>7.3.5</w:t>
      </w:r>
      <w:r>
        <w:rPr>
          <w:rFonts w:hint="eastAsia" w:ascii="宋体" w:hAnsi="宋体"/>
        </w:rPr>
        <w:t>.4</w:t>
      </w:r>
      <w:r>
        <w:rPr>
          <w:rFonts w:ascii="宋体" w:hAnsi="宋体"/>
        </w:rPr>
        <w:t xml:space="preserve"> </w:t>
      </w:r>
      <w:r>
        <w:rPr>
          <w:rFonts w:hint="eastAsia" w:ascii="宋体" w:hAnsi="宋体"/>
        </w:rPr>
        <w:t xml:space="preserve"> 提供符合电梯安装单位安装要求的脚手架及安拆，以及电梯设备吊装至机房内；</w:t>
      </w:r>
    </w:p>
    <w:p>
      <w:pPr>
        <w:spacing w:line="276" w:lineRule="auto"/>
        <w:ind w:firstLine="420" w:firstLineChars="200"/>
        <w:rPr>
          <w:rFonts w:ascii="宋体" w:hAnsi="宋体"/>
        </w:rPr>
      </w:pPr>
      <w:r>
        <w:rPr>
          <w:rFonts w:ascii="宋体" w:hAnsi="宋体"/>
        </w:rPr>
        <w:t>7.3.5</w:t>
      </w:r>
      <w:r>
        <w:rPr>
          <w:rFonts w:hint="eastAsia" w:ascii="宋体" w:hAnsi="宋体"/>
        </w:rPr>
        <w:t>.5</w:t>
      </w:r>
      <w:r>
        <w:rPr>
          <w:rFonts w:ascii="宋体" w:hAnsi="宋体"/>
        </w:rPr>
        <w:t xml:space="preserve"> </w:t>
      </w:r>
      <w:r>
        <w:rPr>
          <w:rFonts w:hint="eastAsia" w:ascii="宋体" w:hAnsi="宋体"/>
        </w:rPr>
        <w:t xml:space="preserve"> 按照电梯施工单位要求预留孔洞和预埋件以及修改；</w:t>
      </w:r>
    </w:p>
    <w:p>
      <w:pPr>
        <w:spacing w:line="276" w:lineRule="auto"/>
        <w:ind w:firstLine="420" w:firstLineChars="200"/>
        <w:rPr>
          <w:rFonts w:ascii="宋体" w:hAnsi="宋体"/>
        </w:rPr>
      </w:pPr>
      <w:r>
        <w:rPr>
          <w:rFonts w:ascii="宋体" w:hAnsi="宋体"/>
        </w:rPr>
        <w:t>7.3.5</w:t>
      </w:r>
      <w:r>
        <w:rPr>
          <w:rFonts w:hint="eastAsia" w:ascii="宋体" w:hAnsi="宋体"/>
        </w:rPr>
        <w:t xml:space="preserve">.6 </w:t>
      </w:r>
      <w:r>
        <w:rPr>
          <w:rFonts w:ascii="宋体" w:hAnsi="宋体"/>
        </w:rPr>
        <w:t xml:space="preserve"> </w:t>
      </w:r>
      <w:r>
        <w:rPr>
          <w:rFonts w:hint="eastAsia" w:ascii="宋体" w:hAnsi="宋体"/>
        </w:rPr>
        <w:t>预留孔洞、呼叫盒以及电梯门四周的封堵及机房挡水沿的设置；</w:t>
      </w:r>
    </w:p>
    <w:p>
      <w:pPr>
        <w:spacing w:line="276" w:lineRule="auto"/>
        <w:ind w:firstLine="420" w:firstLineChars="200"/>
        <w:rPr>
          <w:rFonts w:ascii="宋体" w:hAnsi="宋体"/>
        </w:rPr>
      </w:pPr>
      <w:r>
        <w:rPr>
          <w:rFonts w:ascii="宋体" w:hAnsi="宋体"/>
        </w:rPr>
        <w:t>7.3.5</w:t>
      </w:r>
      <w:r>
        <w:rPr>
          <w:rFonts w:hint="eastAsia" w:ascii="宋体" w:hAnsi="宋体"/>
        </w:rPr>
        <w:t>.7</w:t>
      </w:r>
      <w:r>
        <w:rPr>
          <w:rFonts w:ascii="宋体" w:hAnsi="宋体"/>
        </w:rPr>
        <w:t xml:space="preserve">  </w:t>
      </w:r>
      <w:r>
        <w:rPr>
          <w:rFonts w:hint="eastAsia" w:ascii="宋体" w:hAnsi="宋体"/>
        </w:rPr>
        <w:t>负责线管（带丝穿到位）及线盒预埋的安装工作；</w:t>
      </w:r>
    </w:p>
    <w:p>
      <w:pPr>
        <w:spacing w:line="276" w:lineRule="auto"/>
        <w:ind w:firstLine="420" w:firstLineChars="200"/>
        <w:rPr>
          <w:rFonts w:ascii="宋体" w:hAnsi="宋体"/>
        </w:rPr>
      </w:pPr>
      <w:r>
        <w:rPr>
          <w:rFonts w:ascii="宋体" w:hAnsi="宋体"/>
        </w:rPr>
        <w:t>7.3.5</w:t>
      </w:r>
      <w:r>
        <w:rPr>
          <w:rFonts w:hint="eastAsia" w:ascii="宋体" w:hAnsi="宋体"/>
        </w:rPr>
        <w:t xml:space="preserve">.8 </w:t>
      </w:r>
      <w:r>
        <w:rPr>
          <w:rFonts w:ascii="宋体" w:hAnsi="宋体"/>
        </w:rPr>
        <w:t xml:space="preserve"> </w:t>
      </w:r>
      <w:r>
        <w:rPr>
          <w:rFonts w:hint="eastAsia" w:ascii="宋体" w:hAnsi="宋体"/>
        </w:rPr>
        <w:t>如果施工期间需要临时使用电梯，总包负责保护轿箱，并派专人操作；</w:t>
      </w:r>
    </w:p>
    <w:p>
      <w:pPr>
        <w:spacing w:line="276" w:lineRule="auto"/>
        <w:ind w:firstLine="420" w:firstLineChars="200"/>
        <w:rPr>
          <w:rFonts w:ascii="宋体" w:hAnsi="宋体"/>
        </w:rPr>
      </w:pPr>
      <w:r>
        <w:rPr>
          <w:rFonts w:ascii="宋体" w:hAnsi="宋体"/>
        </w:rPr>
        <w:t>7.3.5</w:t>
      </w:r>
      <w:r>
        <w:rPr>
          <w:rFonts w:hint="eastAsia" w:ascii="宋体" w:hAnsi="宋体"/>
        </w:rPr>
        <w:t>.9</w:t>
      </w:r>
      <w:r>
        <w:rPr>
          <w:rFonts w:ascii="宋体" w:hAnsi="宋体"/>
        </w:rPr>
        <w:t xml:space="preserve"> </w:t>
      </w:r>
      <w:r>
        <w:rPr>
          <w:rFonts w:hint="eastAsia" w:ascii="宋体" w:hAnsi="宋体"/>
        </w:rPr>
        <w:t xml:space="preserve"> 总承包单位应在每组电梯安装现场附近为电梯安装单位提供不小于20m</w:t>
      </w:r>
      <w:r>
        <w:rPr>
          <w:rFonts w:ascii="宋体" w:hAnsi="宋体"/>
          <w:vertAlign w:val="superscript"/>
        </w:rPr>
        <w:t>2</w:t>
      </w:r>
      <w:r>
        <w:rPr>
          <w:rFonts w:hint="eastAsia" w:ascii="宋体" w:hAnsi="宋体"/>
        </w:rPr>
        <w:t>的封闭式库房。</w:t>
      </w:r>
    </w:p>
    <w:p>
      <w:pPr>
        <w:spacing w:line="276" w:lineRule="auto"/>
        <w:ind w:firstLine="420" w:firstLineChars="200"/>
        <w:rPr>
          <w:rFonts w:ascii="宋体" w:hAnsi="宋体"/>
        </w:rPr>
      </w:pPr>
      <w:r>
        <w:rPr>
          <w:rFonts w:hint="eastAsia" w:ascii="宋体" w:hAnsi="宋体"/>
        </w:rPr>
        <w:t>7</w:t>
      </w:r>
      <w:r>
        <w:rPr>
          <w:rFonts w:ascii="宋体" w:hAnsi="宋体"/>
        </w:rPr>
        <w:t xml:space="preserve">.3.6  </w:t>
      </w:r>
      <w:r>
        <w:rPr>
          <w:rFonts w:hint="eastAsia" w:ascii="宋体" w:hAnsi="宋体"/>
        </w:rPr>
        <w:t>总承包人对市政配套工程（包括供水、电、通讯、排水、煤气等）的服务配合义务除上述要求外还包括但不限于以下内容：</w:t>
      </w:r>
    </w:p>
    <w:p>
      <w:pPr>
        <w:spacing w:line="276" w:lineRule="auto"/>
        <w:ind w:firstLine="420" w:firstLineChars="200"/>
        <w:rPr>
          <w:rFonts w:ascii="宋体" w:hAnsi="宋体"/>
        </w:rPr>
      </w:pPr>
      <w:r>
        <w:rPr>
          <w:rFonts w:hint="eastAsia" w:ascii="宋体" w:hAnsi="宋体"/>
        </w:rPr>
        <w:t>7</w:t>
      </w:r>
      <w:r>
        <w:rPr>
          <w:rFonts w:ascii="宋体" w:hAnsi="宋体"/>
        </w:rPr>
        <w:t>.3.6</w:t>
      </w:r>
      <w:r>
        <w:rPr>
          <w:rFonts w:hint="eastAsia" w:ascii="宋体" w:hAnsi="宋体"/>
        </w:rPr>
        <w:t>.1</w:t>
      </w:r>
      <w:r>
        <w:rPr>
          <w:rFonts w:ascii="宋体" w:hAnsi="宋体"/>
        </w:rPr>
        <w:t xml:space="preserve">  </w:t>
      </w:r>
      <w:r>
        <w:rPr>
          <w:rFonts w:hint="eastAsia" w:ascii="宋体" w:hAnsi="宋体"/>
        </w:rPr>
        <w:t>总承包人负责小区内室外综合管线及市政配套工程施工协调管理：</w:t>
      </w:r>
    </w:p>
    <w:p>
      <w:pPr>
        <w:spacing w:line="276" w:lineRule="auto"/>
        <w:ind w:firstLine="420" w:firstLineChars="200"/>
        <w:rPr>
          <w:rFonts w:ascii="宋体" w:hAnsi="宋体"/>
        </w:rPr>
      </w:pPr>
      <w:r>
        <w:rPr>
          <w:rFonts w:hint="eastAsia" w:ascii="宋体" w:hAnsi="宋体"/>
        </w:rPr>
        <w:t>7</w:t>
      </w:r>
      <w:r>
        <w:rPr>
          <w:rFonts w:ascii="宋体" w:hAnsi="宋体"/>
        </w:rPr>
        <w:t>.3.6</w:t>
      </w:r>
      <w:r>
        <w:rPr>
          <w:rFonts w:hint="eastAsia" w:ascii="宋体" w:hAnsi="宋体"/>
        </w:rPr>
        <w:t xml:space="preserve">.2 </w:t>
      </w:r>
      <w:r>
        <w:rPr>
          <w:rFonts w:ascii="宋体" w:hAnsi="宋体"/>
        </w:rPr>
        <w:t xml:space="preserve"> </w:t>
      </w:r>
      <w:r>
        <w:rPr>
          <w:rFonts w:hint="eastAsia" w:ascii="宋体" w:hAnsi="宋体"/>
        </w:rPr>
        <w:t>总承包人应在燃气施工过程中配合电源接引、提供入户门钥匙，接收和看管已安装完成的燃气计量表等工作。</w:t>
      </w:r>
    </w:p>
    <w:p>
      <w:pPr>
        <w:spacing w:line="276" w:lineRule="auto"/>
        <w:ind w:firstLine="420" w:firstLineChars="200"/>
        <w:rPr>
          <w:rFonts w:ascii="宋体" w:hAnsi="宋体"/>
        </w:rPr>
      </w:pPr>
      <w:r>
        <w:rPr>
          <w:rFonts w:hint="eastAsia" w:ascii="宋体" w:hAnsi="宋体"/>
        </w:rPr>
        <w:t>7</w:t>
      </w:r>
      <w:r>
        <w:rPr>
          <w:rFonts w:ascii="宋体" w:hAnsi="宋体"/>
        </w:rPr>
        <w:t>.3.6</w:t>
      </w:r>
      <w:r>
        <w:rPr>
          <w:rFonts w:hint="eastAsia" w:ascii="宋体" w:hAnsi="宋体"/>
        </w:rPr>
        <w:t xml:space="preserve">.3 </w:t>
      </w:r>
      <w:r>
        <w:rPr>
          <w:rFonts w:ascii="宋体" w:hAnsi="宋体"/>
        </w:rPr>
        <w:t xml:space="preserve"> </w:t>
      </w:r>
      <w:r>
        <w:rPr>
          <w:rFonts w:hint="eastAsia" w:ascii="宋体" w:hAnsi="宋体"/>
        </w:rPr>
        <w:t>总承包人对现场已埋管线负成品保护的职责，有责任对已埋管线进行标识和保护，凡由施工不当造成管线破坏的，由总承包人负责协调有关责任方，解决不了的由总承包人负责赔偿。</w:t>
      </w:r>
    </w:p>
    <w:p>
      <w:pPr>
        <w:spacing w:line="276" w:lineRule="auto"/>
        <w:ind w:firstLine="420" w:firstLineChars="200"/>
        <w:rPr>
          <w:rFonts w:ascii="宋体" w:hAnsi="宋体"/>
        </w:rPr>
      </w:pPr>
      <w:r>
        <w:rPr>
          <w:rFonts w:hint="eastAsia" w:ascii="宋体" w:hAnsi="宋体"/>
        </w:rPr>
        <w:t>7</w:t>
      </w:r>
      <w:r>
        <w:rPr>
          <w:rFonts w:ascii="宋体" w:hAnsi="宋体"/>
        </w:rPr>
        <w:t>.3.6</w:t>
      </w:r>
      <w:r>
        <w:rPr>
          <w:rFonts w:hint="eastAsia" w:ascii="宋体" w:hAnsi="宋体"/>
        </w:rPr>
        <w:t xml:space="preserve">.4 </w:t>
      </w:r>
      <w:r>
        <w:rPr>
          <w:rFonts w:ascii="宋体" w:hAnsi="宋体"/>
        </w:rPr>
        <w:t xml:space="preserve"> </w:t>
      </w:r>
      <w:r>
        <w:rPr>
          <w:rFonts w:hint="eastAsia" w:ascii="宋体" w:hAnsi="宋体"/>
        </w:rPr>
        <w:t>总承包人须采取安保措施对发包人直接发包单位的设备设施进行保护，防止被盗、丢失和破坏，一旦发生，总承包人承担相关赔偿责任。</w:t>
      </w:r>
    </w:p>
    <w:p>
      <w:pPr>
        <w:spacing w:line="276" w:lineRule="auto"/>
        <w:ind w:firstLine="420" w:firstLineChars="200"/>
        <w:rPr>
          <w:rFonts w:ascii="宋体" w:hAnsi="宋体"/>
        </w:rPr>
      </w:pPr>
      <w:r>
        <w:rPr>
          <w:rFonts w:ascii="宋体" w:hAnsi="宋体"/>
        </w:rPr>
        <w:t xml:space="preserve">7.3.7  </w:t>
      </w:r>
      <w:r>
        <w:rPr>
          <w:rFonts w:hint="eastAsia" w:ascii="宋体" w:hAnsi="宋体"/>
        </w:rPr>
        <w:t>总承包人对景观绿化工程的服务配合义务除上述要求外还包括但不限于以下内容：</w:t>
      </w:r>
    </w:p>
    <w:p>
      <w:pPr>
        <w:spacing w:line="276" w:lineRule="auto"/>
        <w:ind w:firstLine="420" w:firstLineChars="200"/>
        <w:rPr>
          <w:rFonts w:ascii="宋体" w:hAnsi="宋体"/>
        </w:rPr>
      </w:pPr>
      <w:r>
        <w:rPr>
          <w:rFonts w:ascii="宋体" w:hAnsi="宋体"/>
        </w:rPr>
        <w:t>7.3.7</w:t>
      </w:r>
      <w:r>
        <w:rPr>
          <w:rFonts w:hint="eastAsia" w:ascii="宋体" w:hAnsi="宋体"/>
        </w:rPr>
        <w:t>.1</w:t>
      </w:r>
      <w:r>
        <w:rPr>
          <w:rFonts w:ascii="宋体" w:hAnsi="宋体"/>
        </w:rPr>
        <w:t xml:space="preserve"> </w:t>
      </w:r>
      <w:r>
        <w:rPr>
          <w:rFonts w:hint="eastAsia" w:ascii="宋体" w:hAnsi="宋体"/>
        </w:rPr>
        <w:t xml:space="preserve"> 发包人提前15天以书面形式通知总承包人，要求总承包人对影响景观绿化工程的区域进行清理（包括且不限于脚手架、物料堆放、垃圾、临建、临时道路、临时水电、围墙、支护结构、塔吊电梯及其基础等），给景观道路绿化工程提供所需作业面及临时道路，总承包人须无条件配合。</w:t>
      </w:r>
    </w:p>
    <w:p>
      <w:pPr>
        <w:spacing w:line="276" w:lineRule="auto"/>
        <w:ind w:firstLine="420" w:firstLineChars="200"/>
        <w:rPr>
          <w:rFonts w:ascii="宋体" w:hAnsi="宋体"/>
        </w:rPr>
      </w:pPr>
      <w:r>
        <w:rPr>
          <w:rFonts w:ascii="宋体" w:hAnsi="宋体"/>
        </w:rPr>
        <w:t>7.3.7.</w:t>
      </w:r>
      <w:r>
        <w:rPr>
          <w:rFonts w:hint="eastAsia" w:ascii="宋体" w:hAnsi="宋体"/>
        </w:rPr>
        <w:t>2</w:t>
      </w:r>
      <w:r>
        <w:rPr>
          <w:rFonts w:ascii="宋体" w:hAnsi="宋体"/>
        </w:rPr>
        <w:t xml:space="preserve"> </w:t>
      </w:r>
      <w:r>
        <w:rPr>
          <w:rFonts w:hint="eastAsia" w:ascii="宋体" w:hAnsi="宋体"/>
        </w:rPr>
        <w:t xml:space="preserve"> 承包人须保证室外防水施工以及主楼周边散水、排水沟回填土施工及时进行，为景观绿化工程的及早插入创造条件。</w:t>
      </w:r>
    </w:p>
    <w:p>
      <w:pPr>
        <w:spacing w:line="276" w:lineRule="auto"/>
        <w:ind w:firstLine="420" w:firstLineChars="200"/>
        <w:rPr>
          <w:rFonts w:ascii="宋体" w:hAnsi="宋体"/>
        </w:rPr>
      </w:pPr>
      <w:r>
        <w:rPr>
          <w:rFonts w:hint="eastAsia" w:ascii="宋体" w:hAnsi="宋体"/>
        </w:rPr>
        <w:t>7</w:t>
      </w:r>
      <w:r>
        <w:rPr>
          <w:rFonts w:ascii="宋体" w:hAnsi="宋体"/>
        </w:rPr>
        <w:t xml:space="preserve">.3.8  </w:t>
      </w:r>
      <w:r>
        <w:rPr>
          <w:rFonts w:hint="eastAsia" w:ascii="宋体" w:hAnsi="宋体"/>
        </w:rPr>
        <w:t>其它配合：</w:t>
      </w:r>
    </w:p>
    <w:p>
      <w:pPr>
        <w:spacing w:line="276" w:lineRule="auto"/>
        <w:ind w:firstLine="420" w:firstLineChars="200"/>
        <w:rPr>
          <w:rFonts w:ascii="宋体" w:hAnsi="宋体"/>
        </w:rPr>
      </w:pPr>
      <w:r>
        <w:rPr>
          <w:rFonts w:hint="eastAsia" w:ascii="宋体" w:hAnsi="宋体"/>
        </w:rPr>
        <w:t>7</w:t>
      </w:r>
      <w:r>
        <w:rPr>
          <w:rFonts w:ascii="宋体" w:hAnsi="宋体"/>
        </w:rPr>
        <w:t>.3.8</w:t>
      </w:r>
      <w:r>
        <w:rPr>
          <w:rFonts w:hint="eastAsia" w:ascii="宋体" w:hAnsi="宋体"/>
        </w:rPr>
        <w:t>.1</w:t>
      </w:r>
      <w:r>
        <w:rPr>
          <w:rFonts w:ascii="宋体" w:hAnsi="宋体"/>
        </w:rPr>
        <w:t xml:space="preserve"> </w:t>
      </w:r>
      <w:r>
        <w:rPr>
          <w:rFonts w:hint="eastAsia" w:ascii="宋体" w:hAnsi="宋体"/>
        </w:rPr>
        <w:t xml:space="preserve"> 承包人统一协调管理发包人分包工程的进度、质量、安全、文明施工；分包方使用总承包人的脚手架、塔吊、提升机；总承包人为分包方补门、窗洞（含电梯门洞、防火门洞）等配合工作；承包人负责对工程竣工资料的收集归档，负责竣工验收，并保证全套完整合格的工程竣工验收资料交城建档案馆等。保证本合同的履行。并配置安全文明施工设施，如标识、标牌、宣传标语等，满足本市有关部门对安全文明施工的要求.</w:t>
      </w:r>
    </w:p>
    <w:p>
      <w:pPr>
        <w:spacing w:line="276" w:lineRule="auto"/>
        <w:ind w:firstLine="420" w:firstLineChars="200"/>
        <w:rPr>
          <w:rFonts w:ascii="宋体" w:hAnsi="宋体"/>
        </w:rPr>
      </w:pPr>
      <w:r>
        <w:rPr>
          <w:rFonts w:hint="eastAsia" w:ascii="宋体" w:hAnsi="宋体"/>
        </w:rPr>
        <w:t>7</w:t>
      </w:r>
      <w:r>
        <w:rPr>
          <w:rFonts w:ascii="宋体" w:hAnsi="宋体"/>
        </w:rPr>
        <w:t>.3.8</w:t>
      </w:r>
      <w:r>
        <w:rPr>
          <w:rFonts w:hint="eastAsia" w:ascii="宋体" w:hAnsi="宋体"/>
        </w:rPr>
        <w:t xml:space="preserve">.2 </w:t>
      </w:r>
      <w:r>
        <w:rPr>
          <w:rFonts w:ascii="宋体" w:hAnsi="宋体"/>
        </w:rPr>
        <w:t xml:space="preserve"> </w:t>
      </w:r>
      <w:r>
        <w:rPr>
          <w:rFonts w:hint="eastAsia" w:ascii="宋体" w:hAnsi="宋体"/>
        </w:rPr>
        <w:t>水电施工、煤气管洞及其他洞口施工需要的预留预埋及所有洞口的打洞、补洞等封堵，及门窗洞口封堵由承包人负责，此费用不再另行计算；若因发包人设计变更造成返工时，则按设计变更处理。</w:t>
      </w:r>
    </w:p>
    <w:p>
      <w:pPr>
        <w:spacing w:line="276" w:lineRule="auto"/>
        <w:ind w:firstLine="420" w:firstLineChars="200"/>
        <w:rPr>
          <w:rFonts w:ascii="宋体" w:hAnsi="宋体"/>
        </w:rPr>
      </w:pPr>
      <w:r>
        <w:rPr>
          <w:rFonts w:hint="eastAsia" w:ascii="宋体" w:hAnsi="宋体"/>
        </w:rPr>
        <w:t>7</w:t>
      </w:r>
      <w:r>
        <w:rPr>
          <w:rFonts w:ascii="宋体" w:hAnsi="宋体"/>
        </w:rPr>
        <w:t>.3.8</w:t>
      </w:r>
      <w:r>
        <w:rPr>
          <w:rFonts w:hint="eastAsia" w:ascii="宋体" w:hAnsi="宋体"/>
        </w:rPr>
        <w:t>.3 承包人应提供施工用电接驳点和施工用水接驳点（电梯安装及调试须满足其用电容量）的位置给其他施工单位使用，施工用电接驳点和施工用水接驳点每层应至少设置一处；总包承包人项目经理须组织项目总、分包相关人员根据发包人安排的项目施工进度计划，安排总、分包的工程进度计划，协调管理各分包单位的工程质量，由于总包单位协调组织管理不到位，分包单位与总包单位在质量，进度、安全文明施工、现场配合等方面出现纠纷，除按有关规定对总、分包单位向发包人支付违约金外，发包人有权缓付总包单位当月应付进度款的10%的工程款，待完成整改后在下一次进度款支付时一同支付。</w:t>
      </w:r>
    </w:p>
    <w:p>
      <w:pPr>
        <w:spacing w:line="276" w:lineRule="auto"/>
        <w:ind w:firstLine="420" w:firstLineChars="200"/>
        <w:rPr>
          <w:rFonts w:ascii="宋体" w:hAnsi="宋体"/>
        </w:rPr>
      </w:pPr>
      <w:r>
        <w:rPr>
          <w:rFonts w:hint="eastAsia" w:ascii="宋体" w:hAnsi="宋体"/>
        </w:rPr>
        <w:t>7</w:t>
      </w:r>
      <w:r>
        <w:rPr>
          <w:rFonts w:ascii="宋体" w:hAnsi="宋体"/>
        </w:rPr>
        <w:t>.3.8</w:t>
      </w:r>
      <w:r>
        <w:rPr>
          <w:rFonts w:hint="eastAsia" w:ascii="宋体" w:hAnsi="宋体"/>
        </w:rPr>
        <w:t xml:space="preserve">.4 </w:t>
      </w:r>
      <w:r>
        <w:rPr>
          <w:rFonts w:ascii="宋体" w:hAnsi="宋体"/>
        </w:rPr>
        <w:t xml:space="preserve"> </w:t>
      </w:r>
      <w:r>
        <w:rPr>
          <w:rFonts w:hint="eastAsia" w:ascii="宋体" w:hAnsi="宋体"/>
        </w:rPr>
        <w:t>不论发包人永久性道路或承包人修建的临时道路，均由承包人在施工期间对其加以保护、清扫、维修、维护。</w:t>
      </w:r>
    </w:p>
    <w:p>
      <w:pPr>
        <w:spacing w:line="276" w:lineRule="auto"/>
        <w:ind w:firstLine="420" w:firstLineChars="200"/>
        <w:rPr>
          <w:rFonts w:ascii="宋体" w:hAnsi="宋体"/>
        </w:rPr>
      </w:pPr>
      <w:r>
        <w:rPr>
          <w:rFonts w:hint="eastAsia" w:ascii="宋体" w:hAnsi="宋体"/>
        </w:rPr>
        <w:t>7</w:t>
      </w:r>
      <w:r>
        <w:rPr>
          <w:rFonts w:ascii="宋体" w:hAnsi="宋体"/>
        </w:rPr>
        <w:t>.3.8</w:t>
      </w:r>
      <w:r>
        <w:rPr>
          <w:rFonts w:hint="eastAsia" w:ascii="宋体" w:hAnsi="宋体"/>
        </w:rPr>
        <w:t>.5</w:t>
      </w:r>
      <w:r>
        <w:rPr>
          <w:rFonts w:ascii="宋体" w:hAnsi="宋体"/>
        </w:rPr>
        <w:t xml:space="preserve"> </w:t>
      </w:r>
      <w:r>
        <w:rPr>
          <w:rFonts w:hint="eastAsia" w:ascii="宋体" w:hAnsi="宋体"/>
        </w:rPr>
        <w:t xml:space="preserve"> 在施工过程中若非发包人原因乙方不继续履行合同中主要条款且中断施工，发包人有权终止合同且有权委托第三方进行施工。未尽事宜，双方另行商议签订补充协议。补充协议的内容与本合同冲突的，按补充协议执行： 补充协议中未涉及的，执行本合同。</w:t>
      </w:r>
    </w:p>
    <w:p>
      <w:pPr>
        <w:pStyle w:val="3"/>
        <w:spacing w:before="0" w:after="0" w:line="276" w:lineRule="auto"/>
        <w:ind w:firstLine="413" w:firstLineChars="196"/>
        <w:rPr>
          <w:rFonts w:ascii="宋体" w:hAnsi="宋体"/>
          <w:sz w:val="21"/>
          <w:szCs w:val="21"/>
        </w:rPr>
      </w:pPr>
      <w:bookmarkStart w:id="152" w:name="_Toc144459640"/>
      <w:r>
        <w:rPr>
          <w:rFonts w:ascii="宋体" w:hAnsi="宋体"/>
          <w:sz w:val="21"/>
          <w:szCs w:val="21"/>
        </w:rPr>
        <w:t xml:space="preserve">7.4  </w:t>
      </w:r>
      <w:r>
        <w:rPr>
          <w:rFonts w:hint="eastAsia" w:ascii="宋体" w:hAnsi="宋体"/>
          <w:sz w:val="21"/>
          <w:szCs w:val="21"/>
        </w:rPr>
        <w:t>违约责任</w:t>
      </w:r>
      <w:bookmarkEnd w:id="152"/>
    </w:p>
    <w:p>
      <w:pPr>
        <w:spacing w:line="276" w:lineRule="auto"/>
        <w:ind w:firstLine="420" w:firstLineChars="200"/>
        <w:rPr>
          <w:rFonts w:ascii="宋体" w:hAnsi="宋体"/>
        </w:rPr>
      </w:pPr>
      <w:r>
        <w:rPr>
          <w:rFonts w:hint="eastAsia" w:ascii="宋体" w:hAnsi="宋体"/>
        </w:rPr>
        <w:t>7</w:t>
      </w:r>
      <w:r>
        <w:rPr>
          <w:rFonts w:ascii="宋体" w:hAnsi="宋体"/>
        </w:rPr>
        <w:t xml:space="preserve">.4.1  </w:t>
      </w:r>
      <w:r>
        <w:rPr>
          <w:rFonts w:hint="eastAsia" w:ascii="宋体" w:hAnsi="宋体"/>
        </w:rPr>
        <w:t>总承包人不履行总承包管理职责，未尽所应承担的义务，总承包人应向发包人支付一定的违约金。</w:t>
      </w:r>
    </w:p>
    <w:p>
      <w:pPr>
        <w:spacing w:line="276" w:lineRule="auto"/>
        <w:ind w:firstLine="420" w:firstLineChars="200"/>
        <w:rPr>
          <w:rFonts w:ascii="宋体" w:hAnsi="宋体"/>
        </w:rPr>
      </w:pPr>
      <w:r>
        <w:rPr>
          <w:rFonts w:hint="eastAsia" w:ascii="宋体" w:hAnsi="宋体"/>
        </w:rPr>
        <w:t>7</w:t>
      </w:r>
      <w:r>
        <w:rPr>
          <w:rFonts w:ascii="宋体" w:hAnsi="宋体"/>
        </w:rPr>
        <w:t xml:space="preserve">.4.2  </w:t>
      </w:r>
      <w:r>
        <w:rPr>
          <w:rFonts w:hint="eastAsia" w:ascii="宋体" w:hAnsi="宋体"/>
        </w:rPr>
        <w:t>总承包人不履行总承包管理职责，拒不给发包人直接发包工程提供合理设施及作业面，每延期提供一天，总承包人应向发包人支付违约金10000元/天。</w:t>
      </w:r>
    </w:p>
    <w:p>
      <w:pPr>
        <w:spacing w:line="276" w:lineRule="auto"/>
        <w:ind w:firstLine="420" w:firstLineChars="200"/>
        <w:rPr>
          <w:rFonts w:ascii="宋体" w:hAnsi="宋体"/>
        </w:rPr>
      </w:pPr>
      <w:r>
        <w:rPr>
          <w:rFonts w:hint="eastAsia" w:ascii="宋体" w:hAnsi="宋体"/>
        </w:rPr>
        <w:t>7</w:t>
      </w:r>
      <w:r>
        <w:rPr>
          <w:rFonts w:ascii="宋体" w:hAnsi="宋体"/>
        </w:rPr>
        <w:t>.4.</w:t>
      </w:r>
      <w:r>
        <w:rPr>
          <w:rFonts w:hint="eastAsia" w:ascii="宋体" w:hAnsi="宋体"/>
        </w:rPr>
        <w:t xml:space="preserve">3 </w:t>
      </w:r>
      <w:r>
        <w:rPr>
          <w:rFonts w:ascii="宋体" w:hAnsi="宋体"/>
        </w:rPr>
        <w:t xml:space="preserve"> </w:t>
      </w:r>
      <w:r>
        <w:rPr>
          <w:rFonts w:hint="eastAsia" w:ascii="宋体" w:hAnsi="宋体"/>
        </w:rPr>
        <w:t>总承包人不履行总承包管理职责，对发包人直接发包工程移交后不进行成品保护造成分包单位损失的，总承包人应向发包人支付所造成损失价值5倍的违约金。</w:t>
      </w:r>
    </w:p>
    <w:p>
      <w:pPr>
        <w:spacing w:line="276" w:lineRule="auto"/>
        <w:ind w:firstLine="420" w:firstLineChars="200"/>
        <w:rPr>
          <w:rFonts w:ascii="宋体" w:hAnsi="宋体"/>
        </w:rPr>
      </w:pPr>
      <w:r>
        <w:rPr>
          <w:rFonts w:hint="eastAsia" w:ascii="宋体" w:hAnsi="宋体"/>
        </w:rPr>
        <w:t>7</w:t>
      </w:r>
      <w:r>
        <w:rPr>
          <w:rFonts w:ascii="宋体" w:hAnsi="宋体"/>
        </w:rPr>
        <w:t>.4.</w:t>
      </w:r>
      <w:r>
        <w:rPr>
          <w:rFonts w:hint="eastAsia" w:ascii="宋体" w:hAnsi="宋体"/>
        </w:rPr>
        <w:t xml:space="preserve">4 </w:t>
      </w:r>
      <w:r>
        <w:rPr>
          <w:rFonts w:ascii="宋体" w:hAnsi="宋体"/>
        </w:rPr>
        <w:t xml:space="preserve"> </w:t>
      </w:r>
      <w:r>
        <w:rPr>
          <w:rFonts w:hint="eastAsia" w:ascii="宋体" w:hAnsi="宋体"/>
        </w:rPr>
        <w:t>总承包人不履行总承包管理职责，没有给发包人直接发包工程正常施工所需的合理设施和服务给分包单位造成损失的，总承包人应向发包人支付所造成损失价值5倍的违约金。</w:t>
      </w:r>
    </w:p>
    <w:p>
      <w:pPr>
        <w:spacing w:line="276" w:lineRule="auto"/>
        <w:ind w:firstLine="420" w:firstLineChars="200"/>
        <w:rPr>
          <w:rFonts w:ascii="宋体" w:hAnsi="宋体"/>
        </w:rPr>
      </w:pPr>
      <w:r>
        <w:rPr>
          <w:rFonts w:hint="eastAsia" w:ascii="宋体" w:hAnsi="宋体"/>
        </w:rPr>
        <w:t>7</w:t>
      </w:r>
      <w:r>
        <w:rPr>
          <w:rFonts w:ascii="宋体" w:hAnsi="宋体"/>
        </w:rPr>
        <w:t>.4.</w:t>
      </w:r>
      <w:r>
        <w:rPr>
          <w:rFonts w:hint="eastAsia" w:ascii="宋体" w:hAnsi="宋体"/>
        </w:rPr>
        <w:t xml:space="preserve">5 </w:t>
      </w:r>
      <w:r>
        <w:rPr>
          <w:rFonts w:ascii="宋体" w:hAnsi="宋体"/>
        </w:rPr>
        <w:t xml:space="preserve"> </w:t>
      </w:r>
      <w:r>
        <w:rPr>
          <w:rFonts w:hint="eastAsia" w:ascii="宋体" w:hAnsi="宋体"/>
        </w:rPr>
        <w:t>总承包人不履行总承包管理职责，没有聘请专业的保安公司对现场进行保卫工作或造成发包人直接发包单位的现场设备材料等失窃并无法挽回的,总承包人按照失窃材料设备价值的5倍向发包人支付违约金。</w:t>
      </w:r>
    </w:p>
    <w:p>
      <w:pPr>
        <w:spacing w:line="276" w:lineRule="auto"/>
        <w:ind w:firstLine="420" w:firstLineChars="200"/>
        <w:rPr>
          <w:rFonts w:ascii="宋体" w:hAnsi="宋体"/>
        </w:rPr>
      </w:pPr>
      <w:r>
        <w:rPr>
          <w:rFonts w:hint="eastAsia" w:ascii="宋体" w:hAnsi="宋体"/>
        </w:rPr>
        <w:t>7</w:t>
      </w:r>
      <w:r>
        <w:rPr>
          <w:rFonts w:ascii="宋体" w:hAnsi="宋体"/>
        </w:rPr>
        <w:t>.4.</w:t>
      </w:r>
      <w:r>
        <w:rPr>
          <w:rFonts w:hint="eastAsia" w:ascii="宋体" w:hAnsi="宋体"/>
        </w:rPr>
        <w:t xml:space="preserve">6 </w:t>
      </w:r>
      <w:r>
        <w:rPr>
          <w:rFonts w:ascii="宋体" w:hAnsi="宋体"/>
        </w:rPr>
        <w:t xml:space="preserve"> </w:t>
      </w:r>
      <w:r>
        <w:rPr>
          <w:rFonts w:hint="eastAsia" w:ascii="宋体" w:hAnsi="宋体"/>
        </w:rPr>
        <w:t>总承包人不履行总承包管理职责，违反合同及其它有关规定的，每次总承包人应向发包人支付违约金10000元。</w:t>
      </w:r>
    </w:p>
    <w:p>
      <w:pPr>
        <w:spacing w:line="276" w:lineRule="auto"/>
        <w:ind w:firstLine="420" w:firstLineChars="200"/>
        <w:rPr>
          <w:rFonts w:ascii="宋体" w:hAnsi="宋体"/>
        </w:rPr>
      </w:pPr>
      <w:r>
        <w:rPr>
          <w:rFonts w:hint="eastAsia" w:ascii="宋体" w:hAnsi="宋体"/>
        </w:rPr>
        <w:t>7</w:t>
      </w:r>
      <w:r>
        <w:rPr>
          <w:rFonts w:ascii="宋体" w:hAnsi="宋体"/>
        </w:rPr>
        <w:t>.4.</w:t>
      </w:r>
      <w:r>
        <w:rPr>
          <w:rFonts w:hint="eastAsia" w:ascii="宋体" w:hAnsi="宋体"/>
        </w:rPr>
        <w:t xml:space="preserve">7 </w:t>
      </w:r>
      <w:r>
        <w:rPr>
          <w:rFonts w:ascii="宋体" w:hAnsi="宋体"/>
        </w:rPr>
        <w:t xml:space="preserve"> </w:t>
      </w:r>
      <w:r>
        <w:rPr>
          <w:rFonts w:hint="eastAsia" w:ascii="宋体" w:hAnsi="宋体"/>
        </w:rPr>
        <w:t>总承包人不履行总承包管理职责，对现场各分包协调不到位造成工期拖延的，按照工期拖延条款执行。</w:t>
      </w:r>
    </w:p>
    <w:p>
      <w:pPr>
        <w:spacing w:line="276" w:lineRule="auto"/>
        <w:ind w:firstLine="420" w:firstLineChars="200"/>
        <w:rPr>
          <w:rFonts w:ascii="宋体" w:hAnsi="宋体"/>
        </w:rPr>
      </w:pPr>
      <w:r>
        <w:rPr>
          <w:rFonts w:hint="eastAsia" w:ascii="宋体" w:hAnsi="宋体"/>
        </w:rPr>
        <w:t>7</w:t>
      </w:r>
      <w:r>
        <w:rPr>
          <w:rFonts w:ascii="宋体" w:hAnsi="宋体"/>
        </w:rPr>
        <w:t>.4.</w:t>
      </w:r>
      <w:r>
        <w:rPr>
          <w:rFonts w:hint="eastAsia" w:ascii="宋体" w:hAnsi="宋体"/>
        </w:rPr>
        <w:t xml:space="preserve">8 </w:t>
      </w:r>
      <w:r>
        <w:rPr>
          <w:rFonts w:ascii="宋体" w:hAnsi="宋体"/>
        </w:rPr>
        <w:t xml:space="preserve"> </w:t>
      </w:r>
      <w:r>
        <w:rPr>
          <w:rFonts w:hint="eastAsia" w:ascii="宋体" w:hAnsi="宋体"/>
        </w:rPr>
        <w:t>总承包人对发包人直接发包单位管理不利，造成分包单位自行退场的，出现一次总承包人应向发包人支付违约金10000元。</w:t>
      </w:r>
    </w:p>
    <w:p>
      <w:pPr>
        <w:pStyle w:val="2"/>
        <w:spacing w:before="0" w:after="0" w:line="276" w:lineRule="auto"/>
        <w:rPr>
          <w:rFonts w:ascii="宋体" w:hAnsi="宋体"/>
          <w:sz w:val="28"/>
          <w:szCs w:val="28"/>
        </w:rPr>
      </w:pPr>
      <w:bookmarkStart w:id="153" w:name="_Toc405535555"/>
      <w:bookmarkStart w:id="154" w:name="_Toc144459641"/>
      <w:r>
        <w:rPr>
          <w:rFonts w:hint="eastAsia" w:ascii="宋体" w:hAnsi="宋体"/>
          <w:sz w:val="28"/>
          <w:szCs w:val="28"/>
        </w:rPr>
        <w:t>8.  工程规范和技术要求</w:t>
      </w:r>
      <w:bookmarkEnd w:id="153"/>
      <w:bookmarkEnd w:id="154"/>
    </w:p>
    <w:p>
      <w:pPr>
        <w:pStyle w:val="3"/>
        <w:spacing w:before="0" w:after="0" w:line="276" w:lineRule="auto"/>
        <w:ind w:firstLine="413" w:firstLineChars="196"/>
        <w:rPr>
          <w:rFonts w:ascii="宋体" w:hAnsi="宋体"/>
          <w:sz w:val="21"/>
          <w:szCs w:val="21"/>
        </w:rPr>
      </w:pPr>
      <w:bookmarkStart w:id="155" w:name="_Toc405535556"/>
      <w:bookmarkStart w:id="156" w:name="_Toc144459642"/>
      <w:r>
        <w:rPr>
          <w:rFonts w:hint="eastAsia" w:ascii="宋体" w:hAnsi="宋体"/>
          <w:sz w:val="21"/>
          <w:szCs w:val="21"/>
        </w:rPr>
        <w:t>8.1  适用规范和技术标准</w:t>
      </w:r>
      <w:bookmarkEnd w:id="155"/>
      <w:bookmarkEnd w:id="156"/>
    </w:p>
    <w:p>
      <w:pPr>
        <w:spacing w:line="276" w:lineRule="auto"/>
        <w:ind w:firstLine="420" w:firstLineChars="200"/>
        <w:rPr>
          <w:rFonts w:ascii="宋体" w:hAnsi="宋体"/>
        </w:rPr>
      </w:pPr>
      <w:bookmarkStart w:id="157" w:name="_Toc405535557"/>
      <w:bookmarkStart w:id="158" w:name="_Toc404603817"/>
      <w:bookmarkStart w:id="159" w:name="_Toc404565115"/>
      <w:r>
        <w:rPr>
          <w:rFonts w:hint="eastAsia" w:ascii="宋体" w:hAnsi="宋体"/>
        </w:rPr>
        <w:t>8.1.1  适用标准及规范目录</w:t>
      </w:r>
      <w:bookmarkEnd w:id="157"/>
      <w:bookmarkEnd w:id="158"/>
      <w:bookmarkEnd w:id="159"/>
    </w:p>
    <w:p>
      <w:pPr>
        <w:spacing w:line="276" w:lineRule="auto"/>
        <w:ind w:firstLine="420" w:firstLineChars="200"/>
        <w:rPr>
          <w:rFonts w:ascii="宋体" w:hAnsi="宋体"/>
        </w:rPr>
      </w:pPr>
      <w:bookmarkStart w:id="160" w:name="OLE_LINK1"/>
      <w:r>
        <w:rPr>
          <w:rFonts w:hint="eastAsia" w:ascii="宋体" w:hAnsi="宋体"/>
        </w:rPr>
        <w:t>8.1.1.1  本项目实施过程中材料、施工必须自动满足涉及的所有国家、地方及行业颁布的有关建筑、安装工程的国家、地方及行业相关施工与验收标准、规范、规程（包括非强制执行的指导性文件）、标准构造图集</w:t>
      </w:r>
    </w:p>
    <w:p>
      <w:pPr>
        <w:spacing w:line="276" w:lineRule="auto"/>
        <w:ind w:firstLine="420" w:firstLineChars="200"/>
        <w:rPr>
          <w:rFonts w:ascii="宋体" w:hAnsi="宋体"/>
        </w:rPr>
      </w:pPr>
      <w:bookmarkStart w:id="161" w:name="_Toc218439307"/>
      <w:r>
        <w:rPr>
          <w:rFonts w:hint="eastAsia" w:ascii="宋体" w:hAnsi="宋体"/>
        </w:rPr>
        <w:t>8.1.1.2  设计单位编制的施工图及设计说明以及上述设计说明中明确要采用的标准、规范、规程</w:t>
      </w:r>
    </w:p>
    <w:p>
      <w:pPr>
        <w:spacing w:line="276" w:lineRule="auto"/>
        <w:ind w:firstLine="420" w:firstLineChars="200"/>
        <w:rPr>
          <w:rFonts w:ascii="宋体" w:hAnsi="宋体"/>
        </w:rPr>
      </w:pPr>
      <w:r>
        <w:rPr>
          <w:rFonts w:hint="eastAsia" w:ascii="宋体" w:hAnsi="宋体"/>
        </w:rPr>
        <w:t>8.1.1.3  安全生产、文明施工、环保、消防等有关规定</w:t>
      </w:r>
      <w:bookmarkEnd w:id="161"/>
    </w:p>
    <w:p>
      <w:pPr>
        <w:spacing w:line="276" w:lineRule="auto"/>
        <w:ind w:firstLine="420" w:firstLineChars="200"/>
        <w:rPr>
          <w:rFonts w:ascii="宋体" w:hAnsi="宋体"/>
        </w:rPr>
      </w:pPr>
      <w:bookmarkStart w:id="162" w:name="_Toc218439308"/>
      <w:r>
        <w:rPr>
          <w:rFonts w:hint="eastAsia" w:ascii="宋体" w:hAnsi="宋体"/>
        </w:rPr>
        <w:t>8.1.1.4  项目所在地的建筑工程施工现场安全管理标准</w:t>
      </w:r>
      <w:bookmarkEnd w:id="162"/>
      <w:r>
        <w:rPr>
          <w:rFonts w:hint="eastAsia" w:ascii="宋体" w:hAnsi="宋体"/>
        </w:rPr>
        <w:t>及政府其它法规、条例</w:t>
      </w:r>
    </w:p>
    <w:p>
      <w:pPr>
        <w:spacing w:line="276" w:lineRule="auto"/>
        <w:ind w:firstLine="420" w:firstLineChars="200"/>
        <w:rPr>
          <w:rFonts w:ascii="宋体" w:hAnsi="宋体"/>
        </w:rPr>
      </w:pPr>
      <w:bookmarkStart w:id="163" w:name="_Toc218439309"/>
      <w:r>
        <w:rPr>
          <w:rFonts w:hint="eastAsia" w:ascii="宋体" w:hAnsi="宋体"/>
        </w:rPr>
        <w:t>8.1.1.5  工程设计要求的特殊工程材料、施工工艺标准和要求</w:t>
      </w:r>
    </w:p>
    <w:p>
      <w:pPr>
        <w:spacing w:line="276" w:lineRule="auto"/>
        <w:ind w:firstLine="420" w:firstLineChars="200"/>
        <w:rPr>
          <w:rFonts w:ascii="宋体" w:hAnsi="宋体"/>
        </w:rPr>
      </w:pPr>
      <w:r>
        <w:rPr>
          <w:rFonts w:hint="eastAsia" w:ascii="宋体" w:hAnsi="宋体"/>
        </w:rPr>
        <w:t>8.1.1.6  ISO9001：2000质量管理体系标准文件</w:t>
      </w:r>
      <w:bookmarkEnd w:id="163"/>
    </w:p>
    <w:bookmarkEnd w:id="160"/>
    <w:p>
      <w:pPr>
        <w:spacing w:line="276" w:lineRule="auto"/>
        <w:ind w:firstLine="420" w:firstLineChars="200"/>
        <w:rPr>
          <w:rFonts w:ascii="宋体" w:hAnsi="宋体"/>
        </w:rPr>
      </w:pPr>
      <w:bookmarkStart w:id="164" w:name="_Toc404603818"/>
      <w:bookmarkStart w:id="165" w:name="_Toc405535558"/>
      <w:bookmarkStart w:id="166" w:name="_Toc404565116"/>
      <w:r>
        <w:rPr>
          <w:rFonts w:hint="eastAsia" w:ascii="宋体" w:hAnsi="宋体"/>
        </w:rPr>
        <w:t>8.1.2  适用规范标准说明</w:t>
      </w:r>
      <w:bookmarkEnd w:id="164"/>
      <w:bookmarkEnd w:id="165"/>
      <w:bookmarkEnd w:id="166"/>
    </w:p>
    <w:p>
      <w:pPr>
        <w:spacing w:line="276" w:lineRule="auto"/>
        <w:ind w:firstLine="420" w:firstLineChars="200"/>
        <w:rPr>
          <w:rFonts w:ascii="宋体" w:hAnsi="宋体"/>
        </w:rPr>
      </w:pPr>
      <w:r>
        <w:rPr>
          <w:rFonts w:hint="eastAsia" w:ascii="宋体" w:hAnsi="宋体"/>
        </w:rPr>
        <w:t>8.1.2.1  本工程适用此等规范排列无先后顺序，如以上所有要求之间标准中互相有差距，按最高标准执行；若在执行中有矛盾处，解</w:t>
      </w:r>
      <w:r>
        <w:rPr>
          <w:rFonts w:hint="eastAsia" w:ascii="宋体" w:hAnsi="宋体"/>
          <w:kern w:val="0"/>
        </w:rPr>
        <w:t>释权在发包</w:t>
      </w:r>
      <w:r>
        <w:rPr>
          <w:rFonts w:hint="eastAsia" w:ascii="宋体" w:hAnsi="宋体"/>
        </w:rPr>
        <w:t>人。</w:t>
      </w:r>
    </w:p>
    <w:p>
      <w:pPr>
        <w:spacing w:line="276" w:lineRule="auto"/>
        <w:ind w:firstLine="420" w:firstLineChars="200"/>
        <w:rPr>
          <w:rFonts w:ascii="宋体" w:hAnsi="宋体"/>
        </w:rPr>
      </w:pPr>
      <w:r>
        <w:rPr>
          <w:rFonts w:hint="eastAsia" w:ascii="宋体" w:hAnsi="宋体"/>
        </w:rPr>
        <w:t>8.1.2.2  本工程规范在使用过程中，如有不明确或不一致之处，以标准要求高的或监理工程师指定的规范为准，如工程在实施期间国家对其有所修改，监理工程师在与发包人协商后决定是否需要对质量执行标准进行更替，并将结果以书面形式通知承包人。</w:t>
      </w:r>
    </w:p>
    <w:p>
      <w:pPr>
        <w:spacing w:line="276" w:lineRule="auto"/>
        <w:ind w:firstLine="420" w:firstLineChars="200"/>
        <w:rPr>
          <w:rFonts w:ascii="宋体" w:hAnsi="宋体"/>
        </w:rPr>
      </w:pPr>
      <w:r>
        <w:rPr>
          <w:rFonts w:hint="eastAsia" w:ascii="宋体" w:hAnsi="宋体"/>
        </w:rPr>
        <w:t>8.1.2.3  新材料、新技术、新工艺的应用应由国家权威部门认定，并由推荐的部门提出所执行的施工规范及质量检验评定标准，经发包人和监理工程师同意后方可使用。</w:t>
      </w:r>
    </w:p>
    <w:p>
      <w:pPr>
        <w:spacing w:line="276" w:lineRule="auto"/>
        <w:ind w:firstLine="420" w:firstLineChars="200"/>
        <w:rPr>
          <w:rFonts w:ascii="宋体" w:hAnsi="宋体"/>
        </w:rPr>
      </w:pPr>
      <w:r>
        <w:rPr>
          <w:rFonts w:hint="eastAsia" w:ascii="宋体" w:hAnsi="宋体"/>
        </w:rPr>
        <w:t>8.1.2.4  本工程须遵循现行的所有法律、法规及规范，已发布的新规范尚未正式执行时，根据规范所适用工程在本项目实施时是否达到执行时间，在实施周期内达到的，则必须自开始施工时就适用新规范。</w:t>
      </w:r>
    </w:p>
    <w:p>
      <w:pPr>
        <w:spacing w:line="276" w:lineRule="auto"/>
        <w:ind w:firstLine="420" w:firstLineChars="200"/>
        <w:rPr>
          <w:rFonts w:ascii="宋体" w:hAnsi="宋体"/>
        </w:rPr>
      </w:pPr>
      <w:r>
        <w:rPr>
          <w:rFonts w:hint="eastAsia" w:ascii="宋体" w:hAnsi="宋体"/>
        </w:rPr>
        <w:t>8.1.2.5  发包人标准高于国家、地方及行业标准、规范的，必须按发包人的要求执行；除非该标准明显有背于国家规范之处，经发包人同意后暂不执行。</w:t>
      </w:r>
    </w:p>
    <w:p>
      <w:pPr>
        <w:spacing w:line="276" w:lineRule="auto"/>
        <w:ind w:firstLine="420" w:firstLineChars="200"/>
        <w:rPr>
          <w:rFonts w:ascii="宋体" w:hAnsi="宋体"/>
        </w:rPr>
      </w:pPr>
      <w:r>
        <w:rPr>
          <w:rFonts w:hint="eastAsia" w:ascii="宋体" w:hAnsi="宋体"/>
        </w:rPr>
        <w:t>8.1.3  参考的国家标准和技术规范如下</w:t>
      </w:r>
    </w:p>
    <w:p>
      <w:pPr>
        <w:spacing w:line="276" w:lineRule="auto"/>
        <w:ind w:firstLine="420" w:firstLineChars="200"/>
        <w:rPr>
          <w:rFonts w:ascii="宋体" w:hAnsi="宋体"/>
        </w:rPr>
      </w:pPr>
      <w:r>
        <w:rPr>
          <w:rFonts w:ascii="宋体" w:hAnsi="宋体"/>
        </w:rPr>
        <w:t xml:space="preserve">8.1.3.1  </w:t>
      </w:r>
      <w:r>
        <w:rPr>
          <w:rFonts w:hint="eastAsia" w:ascii="宋体" w:hAnsi="宋体"/>
        </w:rPr>
        <w:t>地基与基础工程</w:t>
      </w:r>
      <w:r>
        <w:rPr>
          <w:rFonts w:ascii="宋体" w:hAnsi="宋体"/>
        </w:rPr>
        <w:t xml:space="preserve"> </w:t>
      </w:r>
    </w:p>
    <w:p>
      <w:pPr>
        <w:numPr>
          <w:ilvl w:val="0"/>
          <w:numId w:val="4"/>
        </w:numPr>
        <w:spacing w:line="276" w:lineRule="auto"/>
        <w:jc w:val="left"/>
        <w:rPr>
          <w:rFonts w:ascii="宋体" w:hAnsi="宋体"/>
        </w:rPr>
      </w:pPr>
      <w:r>
        <w:rPr>
          <w:rFonts w:hint="eastAsia" w:ascii="宋体" w:hAnsi="宋体"/>
        </w:rPr>
        <w:t>GB50026-</w:t>
      </w:r>
      <w:r>
        <w:rPr>
          <w:rFonts w:ascii="宋体" w:hAnsi="宋体"/>
        </w:rPr>
        <w:t>2020</w:t>
      </w:r>
      <w:r>
        <w:rPr>
          <w:rFonts w:hint="eastAsia" w:ascii="宋体" w:hAnsi="宋体"/>
        </w:rPr>
        <w:t xml:space="preserve">     工程测量标准</w:t>
      </w:r>
    </w:p>
    <w:p>
      <w:pPr>
        <w:numPr>
          <w:ilvl w:val="0"/>
          <w:numId w:val="4"/>
        </w:numPr>
        <w:spacing w:line="276" w:lineRule="auto"/>
        <w:jc w:val="left"/>
        <w:rPr>
          <w:rFonts w:ascii="宋体" w:hAnsi="宋体"/>
        </w:rPr>
      </w:pPr>
      <w:r>
        <w:rPr>
          <w:rFonts w:hint="eastAsia" w:ascii="宋体" w:hAnsi="宋体"/>
        </w:rPr>
        <w:t>GB50108-</w:t>
      </w:r>
      <w:r>
        <w:rPr>
          <w:rFonts w:ascii="宋体" w:hAnsi="宋体"/>
        </w:rPr>
        <w:t>2018</w:t>
      </w:r>
      <w:r>
        <w:rPr>
          <w:rFonts w:hint="eastAsia" w:ascii="宋体" w:hAnsi="宋体"/>
        </w:rPr>
        <w:t xml:space="preserve">     地下工程防水技术规范</w:t>
      </w:r>
    </w:p>
    <w:p>
      <w:pPr>
        <w:numPr>
          <w:ilvl w:val="0"/>
          <w:numId w:val="4"/>
        </w:numPr>
        <w:spacing w:line="276" w:lineRule="auto"/>
        <w:ind w:hanging="420" w:firstLineChars="0"/>
        <w:jc w:val="left"/>
        <w:rPr>
          <w:rFonts w:ascii="宋体" w:hAnsi="宋体"/>
        </w:rPr>
      </w:pPr>
      <w:r>
        <w:rPr>
          <w:rFonts w:hint="eastAsia" w:ascii="宋体" w:hAnsi="宋体"/>
        </w:rPr>
        <w:t>GB50134-</w:t>
      </w:r>
      <w:r>
        <w:rPr>
          <w:rFonts w:ascii="宋体" w:hAnsi="宋体"/>
        </w:rPr>
        <w:t>2004</w:t>
      </w:r>
      <w:r>
        <w:rPr>
          <w:rFonts w:hint="eastAsia" w:ascii="宋体" w:hAnsi="宋体"/>
        </w:rPr>
        <w:t xml:space="preserve">     人民防空工程施工及验收规范</w:t>
      </w:r>
    </w:p>
    <w:p>
      <w:pPr>
        <w:spacing w:line="276" w:lineRule="auto"/>
        <w:ind w:left="420" w:firstLine="0" w:firstLineChars="0"/>
        <w:jc w:val="left"/>
        <w:rPr>
          <w:rFonts w:ascii="宋体" w:hAnsi="宋体"/>
        </w:rPr>
      </w:pPr>
      <w:r>
        <w:rPr>
          <w:rFonts w:hint="eastAsia" w:ascii="宋体" w:hAnsi="宋体"/>
        </w:rPr>
        <w:t xml:space="preserve">8.1.3.2  主体结构      </w:t>
      </w:r>
    </w:p>
    <w:p>
      <w:pPr>
        <w:numPr>
          <w:ilvl w:val="0"/>
          <w:numId w:val="5"/>
        </w:numPr>
        <w:spacing w:line="276" w:lineRule="auto"/>
        <w:jc w:val="left"/>
        <w:rPr>
          <w:rFonts w:ascii="宋体" w:hAnsi="宋体"/>
        </w:rPr>
      </w:pPr>
      <w:r>
        <w:rPr>
          <w:rFonts w:hint="eastAsia" w:ascii="宋体" w:hAnsi="宋体"/>
        </w:rPr>
        <w:t>GB50141-</w:t>
      </w:r>
      <w:r>
        <w:rPr>
          <w:rFonts w:ascii="宋体" w:hAnsi="宋体"/>
        </w:rPr>
        <w:t>2008</w:t>
      </w:r>
      <w:r>
        <w:rPr>
          <w:rFonts w:hint="eastAsia" w:ascii="宋体" w:hAnsi="宋体"/>
        </w:rPr>
        <w:t xml:space="preserve">     给水排水构筑物工程施工及验收规范</w:t>
      </w:r>
    </w:p>
    <w:p>
      <w:pPr>
        <w:numPr>
          <w:ilvl w:val="0"/>
          <w:numId w:val="5"/>
        </w:numPr>
        <w:spacing w:line="276" w:lineRule="auto"/>
        <w:jc w:val="left"/>
        <w:rPr>
          <w:rFonts w:ascii="宋体" w:hAnsi="宋体"/>
        </w:rPr>
      </w:pPr>
      <w:r>
        <w:rPr>
          <w:rFonts w:hint="eastAsia" w:ascii="宋体" w:hAnsi="宋体"/>
        </w:rPr>
        <w:t>GB50666-</w:t>
      </w:r>
      <w:r>
        <w:rPr>
          <w:rFonts w:ascii="宋体" w:hAnsi="宋体"/>
        </w:rPr>
        <w:t>2011</w:t>
      </w:r>
      <w:r>
        <w:rPr>
          <w:rFonts w:hint="eastAsia" w:ascii="宋体" w:hAnsi="宋体"/>
        </w:rPr>
        <w:t xml:space="preserve">     混凝土结构工程施工规范</w:t>
      </w:r>
    </w:p>
    <w:p>
      <w:pPr>
        <w:numPr>
          <w:ilvl w:val="0"/>
          <w:numId w:val="5"/>
        </w:numPr>
        <w:spacing w:line="276" w:lineRule="auto"/>
        <w:jc w:val="left"/>
        <w:rPr>
          <w:rFonts w:ascii="宋体" w:hAnsi="宋体"/>
        </w:rPr>
      </w:pPr>
      <w:r>
        <w:rPr>
          <w:rFonts w:hint="eastAsia" w:ascii="宋体" w:hAnsi="宋体"/>
        </w:rPr>
        <w:t>JGJ/T271-</w:t>
      </w:r>
      <w:r>
        <w:rPr>
          <w:rFonts w:ascii="宋体" w:hAnsi="宋体"/>
        </w:rPr>
        <w:t>2012</w:t>
      </w:r>
      <w:r>
        <w:rPr>
          <w:rFonts w:hint="eastAsia" w:ascii="宋体" w:hAnsi="宋体"/>
        </w:rPr>
        <w:t xml:space="preserve">    混凝土结构工程无机材料后锚固技术规程</w:t>
      </w:r>
    </w:p>
    <w:p>
      <w:pPr>
        <w:numPr>
          <w:ilvl w:val="0"/>
          <w:numId w:val="5"/>
        </w:numPr>
        <w:spacing w:line="276" w:lineRule="auto"/>
        <w:jc w:val="left"/>
        <w:rPr>
          <w:rFonts w:ascii="宋体" w:hAnsi="宋体"/>
        </w:rPr>
      </w:pPr>
      <w:r>
        <w:rPr>
          <w:rFonts w:hint="eastAsia" w:ascii="宋体" w:hAnsi="宋体"/>
        </w:rPr>
        <w:t>JGJ248-</w:t>
      </w:r>
      <w:r>
        <w:rPr>
          <w:rFonts w:ascii="宋体" w:hAnsi="宋体"/>
        </w:rPr>
        <w:t>2012</w:t>
      </w:r>
      <w:r>
        <w:rPr>
          <w:rFonts w:hint="eastAsia" w:ascii="宋体" w:hAnsi="宋体"/>
        </w:rPr>
        <w:t xml:space="preserve">      底部框架-抗震墙砌体房屋抗震技术规程</w:t>
      </w:r>
    </w:p>
    <w:p>
      <w:pPr>
        <w:numPr>
          <w:ilvl w:val="0"/>
          <w:numId w:val="5"/>
        </w:numPr>
        <w:spacing w:line="276" w:lineRule="auto"/>
        <w:jc w:val="left"/>
        <w:rPr>
          <w:rFonts w:ascii="宋体" w:hAnsi="宋体"/>
        </w:rPr>
      </w:pPr>
      <w:r>
        <w:rPr>
          <w:rFonts w:hint="eastAsia" w:ascii="宋体" w:hAnsi="宋体"/>
        </w:rPr>
        <w:t>JGJ/T259-</w:t>
      </w:r>
      <w:r>
        <w:rPr>
          <w:rFonts w:ascii="宋体" w:hAnsi="宋体"/>
        </w:rPr>
        <w:t>2012</w:t>
      </w:r>
      <w:r>
        <w:rPr>
          <w:rFonts w:hint="eastAsia" w:ascii="宋体" w:hAnsi="宋体"/>
        </w:rPr>
        <w:t xml:space="preserve">    混凝土结构耐久性修复与防护技术规程</w:t>
      </w:r>
    </w:p>
    <w:p>
      <w:pPr>
        <w:numPr>
          <w:ilvl w:val="0"/>
          <w:numId w:val="5"/>
        </w:numPr>
        <w:spacing w:line="276" w:lineRule="auto"/>
        <w:jc w:val="left"/>
        <w:rPr>
          <w:rFonts w:ascii="宋体" w:hAnsi="宋体"/>
        </w:rPr>
      </w:pPr>
      <w:r>
        <w:rPr>
          <w:rFonts w:hint="eastAsia" w:ascii="宋体" w:hAnsi="宋体"/>
        </w:rPr>
        <w:t>JGJ/T281-2012    高强混凝土应用技术规程</w:t>
      </w:r>
    </w:p>
    <w:p>
      <w:pPr>
        <w:numPr>
          <w:ilvl w:val="0"/>
          <w:numId w:val="5"/>
        </w:numPr>
        <w:spacing w:line="276" w:lineRule="auto"/>
        <w:jc w:val="left"/>
        <w:rPr>
          <w:rFonts w:ascii="宋体" w:hAnsi="宋体"/>
        </w:rPr>
      </w:pPr>
      <w:r>
        <w:rPr>
          <w:rFonts w:hint="eastAsia" w:ascii="宋体" w:hAnsi="宋体"/>
        </w:rPr>
        <w:t>GB</w:t>
      </w:r>
      <w:r>
        <w:rPr>
          <w:rFonts w:ascii="宋体" w:hAnsi="宋体"/>
        </w:rPr>
        <w:t xml:space="preserve"> </w:t>
      </w:r>
      <w:r>
        <w:rPr>
          <w:rFonts w:hint="eastAsia" w:ascii="宋体" w:hAnsi="宋体"/>
        </w:rPr>
        <w:t>50496-20</w:t>
      </w:r>
      <w:r>
        <w:rPr>
          <w:rFonts w:ascii="宋体" w:hAnsi="宋体"/>
        </w:rPr>
        <w:t>18</w:t>
      </w:r>
      <w:r>
        <w:rPr>
          <w:rFonts w:hint="eastAsia" w:ascii="宋体" w:hAnsi="宋体"/>
        </w:rPr>
        <w:t xml:space="preserve">    大体积混凝土施工规范</w:t>
      </w:r>
    </w:p>
    <w:p>
      <w:pPr>
        <w:numPr>
          <w:ilvl w:val="0"/>
          <w:numId w:val="5"/>
        </w:numPr>
        <w:spacing w:line="276" w:lineRule="auto"/>
        <w:jc w:val="left"/>
        <w:rPr>
          <w:rFonts w:ascii="宋体" w:hAnsi="宋体"/>
        </w:rPr>
      </w:pPr>
      <w:r>
        <w:rPr>
          <w:rFonts w:hint="eastAsia" w:ascii="宋体" w:hAnsi="宋体"/>
        </w:rPr>
        <w:t>JGJ114-20</w:t>
      </w:r>
      <w:r>
        <w:rPr>
          <w:rFonts w:ascii="宋体" w:hAnsi="宋体"/>
        </w:rPr>
        <w:t>14</w:t>
      </w:r>
      <w:r>
        <w:rPr>
          <w:rFonts w:hint="eastAsia" w:ascii="宋体" w:hAnsi="宋体"/>
        </w:rPr>
        <w:t xml:space="preserve">      钢筋焊接网混凝土结构技术规程</w:t>
      </w:r>
    </w:p>
    <w:p>
      <w:pPr>
        <w:numPr>
          <w:ilvl w:val="0"/>
          <w:numId w:val="5"/>
        </w:numPr>
        <w:spacing w:line="276" w:lineRule="auto"/>
        <w:jc w:val="left"/>
        <w:rPr>
          <w:rFonts w:ascii="宋体" w:hAnsi="宋体"/>
        </w:rPr>
      </w:pPr>
      <w:r>
        <w:rPr>
          <w:rFonts w:hint="eastAsia" w:ascii="宋体" w:hAnsi="宋体"/>
        </w:rPr>
        <w:t>GB</w:t>
      </w:r>
      <w:r>
        <w:rPr>
          <w:rFonts w:ascii="宋体" w:hAnsi="宋体"/>
        </w:rPr>
        <w:t xml:space="preserve"> 55008-2021</w:t>
      </w:r>
      <w:r>
        <w:rPr>
          <w:rFonts w:hint="eastAsia" w:ascii="宋体" w:hAnsi="宋体"/>
        </w:rPr>
        <w:t xml:space="preserve">    混凝土结构通用规范</w:t>
      </w:r>
    </w:p>
    <w:p>
      <w:pPr>
        <w:numPr>
          <w:ilvl w:val="0"/>
          <w:numId w:val="5"/>
        </w:numPr>
        <w:spacing w:line="276" w:lineRule="auto"/>
        <w:jc w:val="left"/>
        <w:rPr>
          <w:rFonts w:ascii="宋体" w:hAnsi="宋体"/>
        </w:rPr>
      </w:pPr>
      <w:r>
        <w:rPr>
          <w:rFonts w:hint="eastAsia" w:ascii="宋体" w:hAnsi="宋体"/>
        </w:rPr>
        <w:t>JGJ</w:t>
      </w:r>
      <w:r>
        <w:rPr>
          <w:rFonts w:ascii="宋体" w:hAnsi="宋体"/>
        </w:rPr>
        <w:t>/T</w:t>
      </w:r>
      <w:r>
        <w:rPr>
          <w:rFonts w:hint="eastAsia" w:ascii="宋体" w:hAnsi="宋体"/>
        </w:rPr>
        <w:t>12-20</w:t>
      </w:r>
      <w:r>
        <w:rPr>
          <w:rFonts w:ascii="宋体" w:hAnsi="宋体"/>
        </w:rPr>
        <w:t>19</w:t>
      </w:r>
      <w:r>
        <w:rPr>
          <w:rFonts w:hint="eastAsia" w:ascii="宋体" w:hAnsi="宋体"/>
        </w:rPr>
        <w:t xml:space="preserve">     轻骨料混凝土结构技术标准</w:t>
      </w:r>
    </w:p>
    <w:p>
      <w:pPr>
        <w:numPr>
          <w:ilvl w:val="0"/>
          <w:numId w:val="5"/>
        </w:numPr>
        <w:spacing w:line="276" w:lineRule="auto"/>
        <w:jc w:val="left"/>
        <w:rPr>
          <w:rFonts w:ascii="宋体" w:hAnsi="宋体"/>
        </w:rPr>
      </w:pPr>
      <w:r>
        <w:rPr>
          <w:rFonts w:hint="eastAsia" w:ascii="宋体" w:hAnsi="宋体"/>
        </w:rPr>
        <w:t>JGJ145-20</w:t>
      </w:r>
      <w:r>
        <w:rPr>
          <w:rFonts w:ascii="宋体" w:hAnsi="宋体"/>
        </w:rPr>
        <w:t>13</w:t>
      </w:r>
      <w:r>
        <w:rPr>
          <w:rFonts w:hint="eastAsia" w:ascii="宋体" w:hAnsi="宋体"/>
        </w:rPr>
        <w:t xml:space="preserve">      混凝土结构后锚固技术规程</w:t>
      </w:r>
    </w:p>
    <w:p>
      <w:pPr>
        <w:numPr>
          <w:ilvl w:val="0"/>
          <w:numId w:val="5"/>
        </w:numPr>
        <w:spacing w:line="276" w:lineRule="auto"/>
        <w:jc w:val="left"/>
        <w:rPr>
          <w:rFonts w:ascii="宋体" w:hAnsi="宋体"/>
        </w:rPr>
      </w:pPr>
      <w:r>
        <w:rPr>
          <w:rFonts w:hint="eastAsia" w:ascii="宋体" w:hAnsi="宋体"/>
        </w:rPr>
        <w:t>JGJ149-20</w:t>
      </w:r>
      <w:r>
        <w:rPr>
          <w:rFonts w:ascii="宋体" w:hAnsi="宋体"/>
        </w:rPr>
        <w:t>17</w:t>
      </w:r>
      <w:r>
        <w:rPr>
          <w:rFonts w:hint="eastAsia" w:ascii="宋体" w:hAnsi="宋体"/>
        </w:rPr>
        <w:t xml:space="preserve">      混凝土异形柱结构技术规程</w:t>
      </w:r>
    </w:p>
    <w:p>
      <w:pPr>
        <w:numPr>
          <w:ilvl w:val="0"/>
          <w:numId w:val="5"/>
        </w:numPr>
        <w:spacing w:line="276" w:lineRule="auto"/>
        <w:jc w:val="left"/>
        <w:rPr>
          <w:rFonts w:ascii="宋体" w:hAnsi="宋体"/>
        </w:rPr>
      </w:pPr>
      <w:r>
        <w:rPr>
          <w:rFonts w:hint="eastAsia" w:ascii="宋体" w:hAnsi="宋体"/>
        </w:rPr>
        <w:t>JGJ</w:t>
      </w:r>
      <w:r>
        <w:rPr>
          <w:rFonts w:ascii="宋体" w:hAnsi="宋体"/>
        </w:rPr>
        <w:t>/T2</w:t>
      </w:r>
      <w:r>
        <w:rPr>
          <w:rFonts w:hint="eastAsia" w:ascii="宋体" w:hAnsi="宋体"/>
        </w:rPr>
        <w:t>19-2010    混凝土结构用钢筋间隔件应用技术规程</w:t>
      </w:r>
    </w:p>
    <w:p>
      <w:pPr>
        <w:numPr>
          <w:ilvl w:val="0"/>
          <w:numId w:val="5"/>
        </w:numPr>
        <w:spacing w:line="276" w:lineRule="auto"/>
        <w:jc w:val="left"/>
        <w:rPr>
          <w:rFonts w:ascii="宋体" w:hAnsi="宋体"/>
        </w:rPr>
      </w:pPr>
      <w:r>
        <w:rPr>
          <w:rFonts w:hint="eastAsia" w:ascii="宋体" w:hAnsi="宋体"/>
        </w:rPr>
        <w:t>JGJ3-2010        高层建筑混凝土结构技术规程</w:t>
      </w:r>
    </w:p>
    <w:p>
      <w:pPr>
        <w:numPr>
          <w:ilvl w:val="0"/>
          <w:numId w:val="5"/>
        </w:numPr>
        <w:spacing w:line="276" w:lineRule="auto"/>
        <w:jc w:val="left"/>
        <w:rPr>
          <w:rFonts w:ascii="宋体" w:hAnsi="宋体"/>
        </w:rPr>
      </w:pPr>
      <w:r>
        <w:rPr>
          <w:rFonts w:hint="eastAsia" w:ascii="宋体" w:hAnsi="宋体"/>
        </w:rPr>
        <w:t>JGJ99-</w:t>
      </w:r>
      <w:r>
        <w:rPr>
          <w:rFonts w:ascii="宋体" w:hAnsi="宋体"/>
        </w:rPr>
        <w:t>2015</w:t>
      </w:r>
      <w:r>
        <w:rPr>
          <w:rFonts w:hint="eastAsia" w:ascii="宋体" w:hAnsi="宋体"/>
        </w:rPr>
        <w:t xml:space="preserve">       高层民用建筑钢结构技术规程</w:t>
      </w:r>
    </w:p>
    <w:p>
      <w:pPr>
        <w:numPr>
          <w:ilvl w:val="0"/>
          <w:numId w:val="5"/>
        </w:numPr>
        <w:spacing w:line="276" w:lineRule="auto"/>
        <w:jc w:val="left"/>
        <w:rPr>
          <w:rFonts w:ascii="宋体" w:hAnsi="宋体"/>
        </w:rPr>
      </w:pPr>
      <w:r>
        <w:rPr>
          <w:rFonts w:hint="eastAsia" w:ascii="宋体" w:hAnsi="宋体"/>
        </w:rPr>
        <w:t>GB50924-2014     砌体结构工程施工规范</w:t>
      </w:r>
    </w:p>
    <w:p>
      <w:pPr>
        <w:spacing w:line="276" w:lineRule="auto"/>
        <w:ind w:firstLine="420" w:firstLineChars="200"/>
        <w:jc w:val="left"/>
        <w:rPr>
          <w:rFonts w:ascii="宋体" w:hAnsi="宋体"/>
        </w:rPr>
      </w:pPr>
      <w:r>
        <w:rPr>
          <w:rFonts w:hint="eastAsia" w:ascii="宋体" w:hAnsi="宋体"/>
        </w:rPr>
        <w:t xml:space="preserve">8.1.3.3  建筑装饰装修        </w:t>
      </w:r>
    </w:p>
    <w:p>
      <w:pPr>
        <w:numPr>
          <w:ilvl w:val="0"/>
          <w:numId w:val="6"/>
        </w:numPr>
        <w:spacing w:line="276" w:lineRule="auto"/>
        <w:jc w:val="left"/>
        <w:rPr>
          <w:rFonts w:ascii="宋体" w:hAnsi="宋体"/>
        </w:rPr>
      </w:pPr>
      <w:r>
        <w:rPr>
          <w:rFonts w:hint="eastAsia" w:ascii="宋体" w:hAnsi="宋体"/>
        </w:rPr>
        <w:t>GB50212-20</w:t>
      </w:r>
      <w:r>
        <w:rPr>
          <w:rFonts w:ascii="宋体" w:hAnsi="宋体"/>
        </w:rPr>
        <w:t>14</w:t>
      </w:r>
      <w:r>
        <w:rPr>
          <w:rFonts w:hint="eastAsia" w:ascii="宋体" w:hAnsi="宋体"/>
        </w:rPr>
        <w:t xml:space="preserve">     建筑防腐蚀工程施工规范</w:t>
      </w:r>
    </w:p>
    <w:p>
      <w:pPr>
        <w:numPr>
          <w:ilvl w:val="0"/>
          <w:numId w:val="6"/>
        </w:numPr>
        <w:spacing w:line="276" w:lineRule="auto"/>
        <w:jc w:val="left"/>
        <w:rPr>
          <w:rFonts w:ascii="宋体" w:hAnsi="宋体"/>
        </w:rPr>
      </w:pPr>
      <w:r>
        <w:rPr>
          <w:rFonts w:ascii="宋体" w:hAnsi="宋体"/>
        </w:rPr>
        <w:t>GB50325-2020</w:t>
      </w:r>
      <w:r>
        <w:rPr>
          <w:rFonts w:hint="eastAsia" w:ascii="宋体" w:hAnsi="宋体"/>
        </w:rPr>
        <w:t xml:space="preserve">     民用建筑工程室内环境污染控制标准</w:t>
      </w:r>
    </w:p>
    <w:p>
      <w:pPr>
        <w:numPr>
          <w:ilvl w:val="0"/>
          <w:numId w:val="6"/>
        </w:numPr>
        <w:spacing w:line="276" w:lineRule="auto"/>
        <w:jc w:val="left"/>
        <w:rPr>
          <w:rFonts w:ascii="宋体" w:hAnsi="宋体"/>
        </w:rPr>
      </w:pPr>
      <w:r>
        <w:rPr>
          <w:rFonts w:hint="eastAsia" w:ascii="宋体" w:hAnsi="宋体"/>
        </w:rPr>
        <w:t xml:space="preserve">GB50327-2001     </w:t>
      </w:r>
      <w:r>
        <w:rPr>
          <w:rFonts w:hint="eastAsia" w:ascii="宋体" w:hAnsi="宋体"/>
          <w:lang w:val="en-US" w:eastAsia="zh-CN"/>
        </w:rPr>
        <w:t>公共建筑吊顶工程技术规程</w:t>
      </w:r>
    </w:p>
    <w:p>
      <w:pPr>
        <w:numPr>
          <w:ilvl w:val="0"/>
          <w:numId w:val="6"/>
        </w:numPr>
        <w:spacing w:line="276" w:lineRule="auto"/>
        <w:jc w:val="left"/>
        <w:rPr>
          <w:rFonts w:hint="eastAsia" w:ascii="宋体" w:hAnsi="宋体"/>
        </w:rPr>
      </w:pPr>
      <w:r>
        <w:rPr>
          <w:rFonts w:hint="eastAsia" w:ascii="宋体" w:hAnsi="宋体"/>
        </w:rPr>
        <w:t>JGJ/T 331-2014</w:t>
      </w:r>
      <w:r>
        <w:rPr>
          <w:rFonts w:hint="eastAsia" w:ascii="宋体" w:hAnsi="宋体"/>
          <w:lang w:val="en-US" w:eastAsia="zh-CN"/>
        </w:rPr>
        <w:t xml:space="preserve">   建筑地面工程防滑技术规程</w:t>
      </w:r>
    </w:p>
    <w:p>
      <w:pPr>
        <w:numPr>
          <w:ilvl w:val="0"/>
          <w:numId w:val="6"/>
        </w:numPr>
        <w:spacing w:line="276" w:lineRule="auto"/>
        <w:jc w:val="left"/>
        <w:rPr>
          <w:rFonts w:ascii="宋体" w:hAnsi="宋体"/>
        </w:rPr>
      </w:pPr>
      <w:r>
        <w:rPr>
          <w:rFonts w:hint="eastAsia" w:ascii="宋体" w:hAnsi="宋体"/>
        </w:rPr>
        <w:t>GB50345-2012     屋面工程技术规范</w:t>
      </w:r>
    </w:p>
    <w:p>
      <w:pPr>
        <w:numPr>
          <w:ilvl w:val="0"/>
          <w:numId w:val="6"/>
        </w:numPr>
        <w:spacing w:line="276" w:lineRule="auto"/>
        <w:jc w:val="left"/>
        <w:rPr>
          <w:rFonts w:ascii="宋体" w:hAnsi="宋体"/>
        </w:rPr>
      </w:pPr>
      <w:r>
        <w:rPr>
          <w:rFonts w:ascii="宋体" w:hAnsi="宋体"/>
        </w:rPr>
        <w:t xml:space="preserve">GB50693-2011     </w:t>
      </w:r>
      <w:r>
        <w:rPr>
          <w:rFonts w:hint="eastAsia" w:ascii="宋体" w:hAnsi="宋体"/>
        </w:rPr>
        <w:t>坡屋面工程技术规范</w:t>
      </w:r>
      <w:r>
        <w:rPr>
          <w:rFonts w:ascii="宋体" w:hAnsi="宋体"/>
        </w:rPr>
        <w:t xml:space="preserve"> </w:t>
      </w:r>
    </w:p>
    <w:p>
      <w:pPr>
        <w:numPr>
          <w:ilvl w:val="0"/>
          <w:numId w:val="6"/>
        </w:numPr>
        <w:spacing w:line="276" w:lineRule="auto"/>
        <w:jc w:val="left"/>
        <w:rPr>
          <w:rFonts w:ascii="宋体" w:hAnsi="宋体"/>
        </w:rPr>
      </w:pPr>
      <w:r>
        <w:rPr>
          <w:rFonts w:hint="eastAsia" w:ascii="宋体" w:hAnsi="宋体"/>
        </w:rPr>
        <w:t>GB50354-2005     建筑内部装修防火施工及验收规范</w:t>
      </w:r>
    </w:p>
    <w:p>
      <w:pPr>
        <w:numPr>
          <w:ilvl w:val="0"/>
          <w:numId w:val="6"/>
        </w:numPr>
        <w:spacing w:line="276" w:lineRule="auto"/>
        <w:jc w:val="left"/>
        <w:rPr>
          <w:rFonts w:ascii="宋体" w:hAnsi="宋体"/>
        </w:rPr>
      </w:pPr>
      <w:r>
        <w:rPr>
          <w:rFonts w:hint="eastAsia" w:ascii="宋体" w:hAnsi="宋体"/>
        </w:rPr>
        <w:t>JGJ102-2003      玻璃幕墙工程技术规范</w:t>
      </w:r>
    </w:p>
    <w:p>
      <w:pPr>
        <w:numPr>
          <w:ilvl w:val="0"/>
          <w:numId w:val="6"/>
        </w:numPr>
        <w:spacing w:line="276" w:lineRule="auto"/>
        <w:jc w:val="left"/>
        <w:rPr>
          <w:rFonts w:ascii="宋体" w:hAnsi="宋体"/>
        </w:rPr>
      </w:pPr>
      <w:r>
        <w:rPr>
          <w:rFonts w:hint="eastAsia" w:ascii="宋体" w:hAnsi="宋体"/>
        </w:rPr>
        <w:t>JGJ133-2001      金属与石材幕墙工程技术规范</w:t>
      </w:r>
    </w:p>
    <w:p>
      <w:pPr>
        <w:numPr>
          <w:ilvl w:val="0"/>
          <w:numId w:val="6"/>
        </w:numPr>
        <w:spacing w:line="276" w:lineRule="auto"/>
        <w:jc w:val="left"/>
        <w:rPr>
          <w:rFonts w:ascii="宋体" w:hAnsi="宋体"/>
        </w:rPr>
      </w:pPr>
      <w:r>
        <w:rPr>
          <w:rFonts w:hint="eastAsia" w:ascii="宋体" w:hAnsi="宋体"/>
        </w:rPr>
        <w:t>JGJT175-20</w:t>
      </w:r>
      <w:r>
        <w:rPr>
          <w:rFonts w:ascii="宋体" w:hAnsi="宋体"/>
        </w:rPr>
        <w:t>18</w:t>
      </w:r>
      <w:r>
        <w:rPr>
          <w:rFonts w:hint="eastAsia" w:ascii="宋体" w:hAnsi="宋体"/>
        </w:rPr>
        <w:t xml:space="preserve">     自流平地面工程技术标准</w:t>
      </w:r>
    </w:p>
    <w:p>
      <w:pPr>
        <w:numPr>
          <w:ilvl w:val="0"/>
          <w:numId w:val="6"/>
        </w:numPr>
        <w:spacing w:line="276" w:lineRule="auto"/>
        <w:jc w:val="left"/>
        <w:rPr>
          <w:rFonts w:ascii="宋体" w:hAnsi="宋体"/>
        </w:rPr>
      </w:pPr>
      <w:r>
        <w:rPr>
          <w:rFonts w:hint="eastAsia" w:ascii="宋体" w:hAnsi="宋体"/>
        </w:rPr>
        <w:t>JGJT29-20</w:t>
      </w:r>
      <w:r>
        <w:rPr>
          <w:rFonts w:ascii="宋体" w:hAnsi="宋体"/>
        </w:rPr>
        <w:t>15</w:t>
      </w:r>
      <w:r>
        <w:rPr>
          <w:rFonts w:hint="eastAsia" w:ascii="宋体" w:hAnsi="宋体"/>
        </w:rPr>
        <w:t xml:space="preserve">      建筑涂饰工程施工及验收规程</w:t>
      </w:r>
    </w:p>
    <w:p>
      <w:pPr>
        <w:numPr>
          <w:ilvl w:val="0"/>
          <w:numId w:val="6"/>
        </w:numPr>
        <w:spacing w:line="276" w:lineRule="auto"/>
        <w:jc w:val="left"/>
        <w:rPr>
          <w:rFonts w:ascii="宋体" w:hAnsi="宋体"/>
        </w:rPr>
      </w:pPr>
      <w:r>
        <w:rPr>
          <w:rFonts w:hint="eastAsia" w:ascii="宋体" w:hAnsi="宋体"/>
        </w:rPr>
        <w:t>GB50693-2011     坡屋面工程技术规范</w:t>
      </w:r>
    </w:p>
    <w:p>
      <w:pPr>
        <w:numPr>
          <w:ilvl w:val="0"/>
          <w:numId w:val="6"/>
        </w:numPr>
        <w:spacing w:line="276" w:lineRule="auto"/>
        <w:jc w:val="left"/>
        <w:rPr>
          <w:rFonts w:ascii="宋体" w:hAnsi="宋体"/>
        </w:rPr>
      </w:pPr>
      <w:r>
        <w:rPr>
          <w:rFonts w:hint="eastAsia" w:ascii="宋体" w:hAnsi="宋体"/>
        </w:rPr>
        <w:t>JGJ/T235-2011    建筑外墙防水工程技术规程</w:t>
      </w:r>
    </w:p>
    <w:p>
      <w:pPr>
        <w:numPr>
          <w:ilvl w:val="0"/>
          <w:numId w:val="6"/>
        </w:numPr>
        <w:spacing w:line="276" w:lineRule="auto"/>
        <w:jc w:val="left"/>
        <w:rPr>
          <w:rFonts w:ascii="宋体" w:hAnsi="宋体"/>
        </w:rPr>
      </w:pPr>
      <w:r>
        <w:rPr>
          <w:rFonts w:hint="eastAsia" w:ascii="宋体" w:hAnsi="宋体"/>
        </w:rPr>
        <w:t>JGJ/T238-2011    混凝土基层喷浆处理技术规程</w:t>
      </w:r>
    </w:p>
    <w:p>
      <w:pPr>
        <w:numPr>
          <w:ilvl w:val="0"/>
          <w:numId w:val="6"/>
        </w:numPr>
        <w:spacing w:line="276" w:lineRule="auto"/>
        <w:jc w:val="left"/>
        <w:rPr>
          <w:rFonts w:ascii="宋体" w:hAnsi="宋体"/>
        </w:rPr>
      </w:pPr>
      <w:r>
        <w:rPr>
          <w:rFonts w:hint="eastAsia" w:ascii="宋体" w:hAnsi="宋体"/>
        </w:rPr>
        <w:t>JGJ214-2010      铝合金门窗工程技术规范</w:t>
      </w:r>
    </w:p>
    <w:p>
      <w:pPr>
        <w:spacing w:line="276" w:lineRule="auto"/>
        <w:ind w:firstLine="420" w:firstLineChars="200"/>
        <w:jc w:val="left"/>
        <w:rPr>
          <w:rFonts w:ascii="宋体" w:hAnsi="宋体"/>
        </w:rPr>
      </w:pPr>
      <w:r>
        <w:rPr>
          <w:rFonts w:hint="eastAsia" w:ascii="宋体" w:hAnsi="宋体"/>
        </w:rPr>
        <w:t xml:space="preserve">8.1.3.4  专业工程      </w:t>
      </w:r>
    </w:p>
    <w:p>
      <w:pPr>
        <w:numPr>
          <w:ilvl w:val="0"/>
          <w:numId w:val="7"/>
        </w:numPr>
        <w:spacing w:line="276" w:lineRule="auto"/>
        <w:jc w:val="left"/>
        <w:rPr>
          <w:rFonts w:ascii="宋体" w:hAnsi="宋体"/>
        </w:rPr>
      </w:pPr>
      <w:r>
        <w:rPr>
          <w:rFonts w:hint="eastAsia" w:ascii="宋体" w:hAnsi="宋体"/>
        </w:rPr>
        <w:t>GB50166-20</w:t>
      </w:r>
      <w:r>
        <w:rPr>
          <w:rFonts w:ascii="宋体" w:hAnsi="宋体"/>
        </w:rPr>
        <w:t>19</w:t>
      </w:r>
      <w:r>
        <w:rPr>
          <w:rFonts w:hint="eastAsia" w:ascii="宋体" w:hAnsi="宋体"/>
        </w:rPr>
        <w:t xml:space="preserve">     火灾自动报警系统施工及验收标准</w:t>
      </w:r>
    </w:p>
    <w:p>
      <w:pPr>
        <w:numPr>
          <w:ilvl w:val="0"/>
          <w:numId w:val="7"/>
        </w:numPr>
        <w:spacing w:line="276" w:lineRule="auto"/>
        <w:jc w:val="left"/>
        <w:rPr>
          <w:rFonts w:ascii="宋体" w:hAnsi="宋体"/>
        </w:rPr>
      </w:pPr>
      <w:r>
        <w:rPr>
          <w:rFonts w:hint="eastAsia" w:ascii="宋体" w:hAnsi="宋体"/>
        </w:rPr>
        <w:t>GB50261-20</w:t>
      </w:r>
      <w:r>
        <w:rPr>
          <w:rFonts w:ascii="宋体" w:hAnsi="宋体"/>
        </w:rPr>
        <w:t>17</w:t>
      </w:r>
      <w:r>
        <w:rPr>
          <w:rFonts w:hint="eastAsia" w:ascii="宋体" w:hAnsi="宋体"/>
        </w:rPr>
        <w:t xml:space="preserve">     自动喷水灭火系统施工及验收规范</w:t>
      </w:r>
    </w:p>
    <w:p>
      <w:pPr>
        <w:numPr>
          <w:ilvl w:val="0"/>
          <w:numId w:val="7"/>
        </w:numPr>
        <w:spacing w:line="276" w:lineRule="auto"/>
        <w:jc w:val="left"/>
        <w:rPr>
          <w:rFonts w:ascii="宋体" w:hAnsi="宋体"/>
        </w:rPr>
      </w:pPr>
      <w:r>
        <w:rPr>
          <w:rFonts w:hint="eastAsia" w:ascii="宋体" w:hAnsi="宋体"/>
        </w:rPr>
        <w:t>GB50263-2007     气体灭火系统施工及验收规范</w:t>
      </w:r>
    </w:p>
    <w:p>
      <w:pPr>
        <w:numPr>
          <w:ilvl w:val="0"/>
          <w:numId w:val="7"/>
        </w:numPr>
        <w:spacing w:line="276" w:lineRule="auto"/>
        <w:jc w:val="left"/>
        <w:rPr>
          <w:rFonts w:ascii="宋体" w:hAnsi="宋体"/>
        </w:rPr>
      </w:pPr>
      <w:r>
        <w:rPr>
          <w:rFonts w:hint="eastAsia" w:ascii="宋体" w:hAnsi="宋体"/>
        </w:rPr>
        <w:t>GB50</w:t>
      </w:r>
      <w:r>
        <w:rPr>
          <w:rFonts w:ascii="宋体" w:hAnsi="宋体"/>
        </w:rPr>
        <w:t>151</w:t>
      </w:r>
      <w:r>
        <w:rPr>
          <w:rFonts w:hint="eastAsia" w:ascii="宋体" w:hAnsi="宋体"/>
        </w:rPr>
        <w:t>-20</w:t>
      </w:r>
      <w:r>
        <w:rPr>
          <w:rFonts w:ascii="宋体" w:hAnsi="宋体"/>
        </w:rPr>
        <w:t>21</w:t>
      </w:r>
      <w:r>
        <w:rPr>
          <w:rFonts w:hint="eastAsia" w:ascii="宋体" w:hAnsi="宋体"/>
        </w:rPr>
        <w:t xml:space="preserve">     泡沫灭火系统技术标准</w:t>
      </w:r>
    </w:p>
    <w:p>
      <w:pPr>
        <w:numPr>
          <w:ilvl w:val="0"/>
          <w:numId w:val="7"/>
        </w:numPr>
        <w:spacing w:line="276" w:lineRule="auto"/>
        <w:jc w:val="left"/>
        <w:rPr>
          <w:rFonts w:ascii="宋体" w:hAnsi="宋体"/>
        </w:rPr>
      </w:pPr>
      <w:r>
        <w:rPr>
          <w:rFonts w:hint="eastAsia" w:ascii="宋体" w:hAnsi="宋体"/>
        </w:rPr>
        <w:t>GB50343-20</w:t>
      </w:r>
      <w:r>
        <w:rPr>
          <w:rFonts w:ascii="宋体" w:hAnsi="宋体"/>
        </w:rPr>
        <w:t>12</w:t>
      </w:r>
      <w:r>
        <w:rPr>
          <w:rFonts w:hint="eastAsia" w:ascii="宋体" w:hAnsi="宋体"/>
        </w:rPr>
        <w:t xml:space="preserve">     建筑物电子信息系统防雷技术规范</w:t>
      </w:r>
    </w:p>
    <w:p>
      <w:pPr>
        <w:numPr>
          <w:ilvl w:val="0"/>
          <w:numId w:val="7"/>
        </w:numPr>
        <w:spacing w:line="276" w:lineRule="auto"/>
        <w:jc w:val="left"/>
        <w:rPr>
          <w:rFonts w:ascii="宋体" w:hAnsi="宋体"/>
        </w:rPr>
      </w:pPr>
      <w:r>
        <w:rPr>
          <w:rFonts w:hint="eastAsia" w:ascii="宋体" w:hAnsi="宋体"/>
        </w:rPr>
        <w:t>GB50348-20</w:t>
      </w:r>
      <w:r>
        <w:rPr>
          <w:rFonts w:ascii="宋体" w:hAnsi="宋体"/>
        </w:rPr>
        <w:t>18</w:t>
      </w:r>
      <w:r>
        <w:rPr>
          <w:rFonts w:hint="eastAsia" w:ascii="宋体" w:hAnsi="宋体"/>
        </w:rPr>
        <w:t xml:space="preserve">     安全防范工程技术标准</w:t>
      </w:r>
    </w:p>
    <w:p>
      <w:pPr>
        <w:numPr>
          <w:ilvl w:val="0"/>
          <w:numId w:val="7"/>
        </w:numPr>
        <w:spacing w:line="276" w:lineRule="auto"/>
        <w:jc w:val="left"/>
        <w:rPr>
          <w:rFonts w:ascii="宋体" w:hAnsi="宋体"/>
        </w:rPr>
      </w:pPr>
      <w:r>
        <w:rPr>
          <w:rFonts w:hint="eastAsia" w:ascii="宋体" w:hAnsi="宋体"/>
        </w:rPr>
        <w:t>GB50134-2004     人民防空工程施工及验收规范</w:t>
      </w:r>
    </w:p>
    <w:p>
      <w:pPr>
        <w:numPr>
          <w:ilvl w:val="0"/>
          <w:numId w:val="7"/>
        </w:numPr>
        <w:spacing w:line="276" w:lineRule="auto"/>
        <w:jc w:val="left"/>
        <w:rPr>
          <w:rFonts w:ascii="宋体" w:hAnsi="宋体"/>
        </w:rPr>
      </w:pPr>
      <w:r>
        <w:rPr>
          <w:rFonts w:hint="eastAsia" w:ascii="宋体" w:hAnsi="宋体"/>
        </w:rPr>
        <w:t>GB</w:t>
      </w:r>
      <w:r>
        <w:rPr>
          <w:rFonts w:ascii="宋体" w:hAnsi="宋体"/>
        </w:rPr>
        <w:t>/T</w:t>
      </w:r>
      <w:r>
        <w:rPr>
          <w:rFonts w:hint="eastAsia" w:ascii="宋体" w:hAnsi="宋体"/>
        </w:rPr>
        <w:t>50312-20</w:t>
      </w:r>
      <w:r>
        <w:rPr>
          <w:rFonts w:ascii="宋体" w:hAnsi="宋体"/>
        </w:rPr>
        <w:t>16</w:t>
      </w:r>
      <w:r>
        <w:rPr>
          <w:rFonts w:hint="eastAsia" w:ascii="宋体" w:hAnsi="宋体"/>
        </w:rPr>
        <w:t xml:space="preserve">   综合布线系统工程验收规范</w:t>
      </w:r>
    </w:p>
    <w:p>
      <w:pPr>
        <w:numPr>
          <w:ilvl w:val="0"/>
          <w:numId w:val="7"/>
        </w:numPr>
        <w:spacing w:line="276" w:lineRule="auto"/>
        <w:jc w:val="left"/>
        <w:rPr>
          <w:rFonts w:ascii="宋体" w:hAnsi="宋体"/>
        </w:rPr>
      </w:pPr>
      <w:r>
        <w:rPr>
          <w:rFonts w:hint="eastAsia" w:ascii="宋体" w:hAnsi="宋体"/>
        </w:rPr>
        <w:t>GB50601-2010     建筑物防雷工程施工与质量验收规范</w:t>
      </w:r>
    </w:p>
    <w:p>
      <w:pPr>
        <w:numPr>
          <w:ilvl w:val="0"/>
          <w:numId w:val="7"/>
        </w:numPr>
        <w:spacing w:line="276" w:lineRule="auto"/>
        <w:jc w:val="left"/>
        <w:rPr>
          <w:rFonts w:ascii="宋体" w:hAnsi="宋体"/>
        </w:rPr>
      </w:pPr>
      <w:r>
        <w:rPr>
          <w:rFonts w:hint="eastAsia" w:ascii="宋体" w:hAnsi="宋体"/>
        </w:rPr>
        <w:t>GB50606-2010     智能建筑工程施工规范</w:t>
      </w:r>
    </w:p>
    <w:p>
      <w:pPr>
        <w:numPr>
          <w:ilvl w:val="0"/>
          <w:numId w:val="7"/>
        </w:numPr>
        <w:spacing w:line="276" w:lineRule="auto"/>
        <w:jc w:val="left"/>
        <w:rPr>
          <w:rFonts w:ascii="宋体" w:hAnsi="宋体"/>
        </w:rPr>
      </w:pPr>
      <w:r>
        <w:rPr>
          <w:rFonts w:hint="eastAsia" w:ascii="宋体" w:hAnsi="宋体"/>
        </w:rPr>
        <w:t>JGJ147-20</w:t>
      </w:r>
      <w:r>
        <w:rPr>
          <w:rFonts w:ascii="宋体" w:hAnsi="宋体"/>
        </w:rPr>
        <w:t>16</w:t>
      </w:r>
      <w:r>
        <w:rPr>
          <w:rFonts w:hint="eastAsia" w:ascii="宋体" w:hAnsi="宋体"/>
        </w:rPr>
        <w:t xml:space="preserve">      建筑拆除工程安全技术规范</w:t>
      </w:r>
    </w:p>
    <w:p>
      <w:pPr>
        <w:numPr>
          <w:ilvl w:val="0"/>
          <w:numId w:val="7"/>
        </w:numPr>
        <w:spacing w:line="276" w:lineRule="auto"/>
        <w:jc w:val="left"/>
        <w:rPr>
          <w:rFonts w:ascii="宋体" w:hAnsi="宋体"/>
        </w:rPr>
      </w:pPr>
      <w:r>
        <w:rPr>
          <w:rFonts w:hint="eastAsia" w:ascii="宋体" w:hAnsi="宋体"/>
        </w:rPr>
        <w:t>GB50642-2011     无障碍设施施工验收及维护规范</w:t>
      </w:r>
    </w:p>
    <w:p>
      <w:pPr>
        <w:spacing w:line="276" w:lineRule="auto"/>
        <w:ind w:firstLine="420" w:firstLineChars="200"/>
        <w:jc w:val="left"/>
        <w:rPr>
          <w:rFonts w:ascii="宋体" w:hAnsi="宋体"/>
        </w:rPr>
      </w:pPr>
      <w:r>
        <w:rPr>
          <w:rFonts w:hint="eastAsia" w:ascii="宋体" w:hAnsi="宋体"/>
        </w:rPr>
        <w:t xml:space="preserve">8.1.3.5  施工技术      </w:t>
      </w:r>
    </w:p>
    <w:p>
      <w:pPr>
        <w:numPr>
          <w:ilvl w:val="0"/>
          <w:numId w:val="8"/>
        </w:numPr>
        <w:spacing w:line="276" w:lineRule="auto"/>
        <w:jc w:val="left"/>
        <w:rPr>
          <w:rFonts w:ascii="宋体" w:hAnsi="宋体"/>
        </w:rPr>
      </w:pPr>
      <w:r>
        <w:rPr>
          <w:rFonts w:hint="eastAsia" w:ascii="宋体" w:hAnsi="宋体"/>
        </w:rPr>
        <w:t>JGJ107-201</w:t>
      </w:r>
      <w:r>
        <w:rPr>
          <w:rFonts w:ascii="宋体" w:hAnsi="宋体"/>
        </w:rPr>
        <w:t>6</w:t>
      </w:r>
      <w:r>
        <w:rPr>
          <w:rFonts w:hint="eastAsia" w:ascii="宋体" w:hAnsi="宋体"/>
        </w:rPr>
        <w:t xml:space="preserve">      钢筋机械连接技术规程</w:t>
      </w:r>
    </w:p>
    <w:p>
      <w:pPr>
        <w:numPr>
          <w:ilvl w:val="0"/>
          <w:numId w:val="8"/>
        </w:numPr>
        <w:spacing w:line="276" w:lineRule="auto"/>
        <w:jc w:val="left"/>
        <w:rPr>
          <w:rFonts w:ascii="宋体" w:hAnsi="宋体"/>
        </w:rPr>
      </w:pPr>
      <w:r>
        <w:rPr>
          <w:rFonts w:hint="eastAsia" w:ascii="宋体" w:hAnsi="宋体"/>
        </w:rPr>
        <w:t>JGJ18-2012       钢筋焊接及验收规程</w:t>
      </w:r>
    </w:p>
    <w:p>
      <w:pPr>
        <w:numPr>
          <w:ilvl w:val="0"/>
          <w:numId w:val="8"/>
        </w:numPr>
        <w:spacing w:line="276" w:lineRule="auto"/>
        <w:jc w:val="left"/>
        <w:rPr>
          <w:rFonts w:ascii="宋体" w:hAnsi="宋体"/>
        </w:rPr>
      </w:pPr>
      <w:r>
        <w:rPr>
          <w:rFonts w:hint="eastAsia" w:ascii="宋体" w:hAnsi="宋体"/>
        </w:rPr>
        <w:t>JGJ/</w:t>
      </w:r>
      <w:r>
        <w:rPr>
          <w:rFonts w:ascii="宋体" w:hAnsi="宋体"/>
        </w:rPr>
        <w:t>T</w:t>
      </w:r>
      <w:r>
        <w:rPr>
          <w:rFonts w:hint="eastAsia" w:ascii="宋体" w:hAnsi="宋体"/>
        </w:rPr>
        <w:t>74-20</w:t>
      </w:r>
      <w:r>
        <w:rPr>
          <w:rFonts w:ascii="宋体" w:hAnsi="宋体"/>
        </w:rPr>
        <w:t>17</w:t>
      </w:r>
      <w:r>
        <w:rPr>
          <w:rFonts w:hint="eastAsia" w:ascii="宋体" w:hAnsi="宋体"/>
        </w:rPr>
        <w:t xml:space="preserve">     建筑工程大模板技术标准</w:t>
      </w:r>
    </w:p>
    <w:p>
      <w:pPr>
        <w:numPr>
          <w:ilvl w:val="0"/>
          <w:numId w:val="8"/>
        </w:numPr>
        <w:spacing w:line="276" w:lineRule="auto"/>
        <w:jc w:val="left"/>
        <w:rPr>
          <w:rFonts w:ascii="宋体" w:hAnsi="宋体"/>
        </w:rPr>
      </w:pPr>
      <w:r>
        <w:rPr>
          <w:rFonts w:hint="eastAsia" w:ascii="宋体" w:hAnsi="宋体"/>
        </w:rPr>
        <w:t>GB50661-2011     钢结构焊接规范</w:t>
      </w:r>
    </w:p>
    <w:p>
      <w:pPr>
        <w:numPr>
          <w:ilvl w:val="0"/>
          <w:numId w:val="8"/>
        </w:numPr>
        <w:spacing w:line="276" w:lineRule="auto"/>
        <w:jc w:val="left"/>
        <w:rPr>
          <w:rFonts w:ascii="宋体" w:hAnsi="宋体"/>
        </w:rPr>
      </w:pPr>
      <w:r>
        <w:rPr>
          <w:rFonts w:hint="eastAsia" w:ascii="宋体" w:hAnsi="宋体"/>
        </w:rPr>
        <w:t>JG/T366-2012     外墙保温用锚栓</w:t>
      </w:r>
    </w:p>
    <w:p>
      <w:pPr>
        <w:numPr>
          <w:ilvl w:val="0"/>
          <w:numId w:val="8"/>
        </w:numPr>
        <w:spacing w:line="276" w:lineRule="auto"/>
        <w:jc w:val="left"/>
        <w:rPr>
          <w:rFonts w:ascii="宋体" w:hAnsi="宋体"/>
        </w:rPr>
      </w:pPr>
      <w:r>
        <w:rPr>
          <w:rFonts w:hint="eastAsia" w:ascii="宋体" w:hAnsi="宋体"/>
        </w:rPr>
        <w:t>JGJ82-2011       钢结构高强度螺栓连接技术规程</w:t>
      </w:r>
    </w:p>
    <w:p>
      <w:pPr>
        <w:numPr>
          <w:ilvl w:val="0"/>
          <w:numId w:val="8"/>
        </w:numPr>
        <w:spacing w:line="276" w:lineRule="auto"/>
        <w:jc w:val="left"/>
        <w:rPr>
          <w:rFonts w:ascii="宋体" w:hAnsi="宋体"/>
        </w:rPr>
      </w:pPr>
      <w:r>
        <w:rPr>
          <w:rFonts w:hint="eastAsia" w:ascii="宋体" w:hAnsi="宋体"/>
        </w:rPr>
        <w:t>JGJT10-2011      混凝土泵送施工技术规程</w:t>
      </w:r>
    </w:p>
    <w:p>
      <w:pPr>
        <w:numPr>
          <w:ilvl w:val="0"/>
          <w:numId w:val="8"/>
        </w:numPr>
        <w:spacing w:line="276" w:lineRule="auto"/>
        <w:jc w:val="left"/>
        <w:rPr>
          <w:rFonts w:ascii="宋体" w:hAnsi="宋体"/>
        </w:rPr>
      </w:pPr>
      <w:r>
        <w:rPr>
          <w:rFonts w:hint="eastAsia" w:ascii="宋体" w:hAnsi="宋体"/>
        </w:rPr>
        <w:t>GB/T5010</w:t>
      </w:r>
      <w:r>
        <w:rPr>
          <w:rFonts w:ascii="宋体" w:hAnsi="宋体"/>
        </w:rPr>
        <w:t>7</w:t>
      </w:r>
      <w:r>
        <w:rPr>
          <w:rFonts w:hint="eastAsia" w:ascii="宋体" w:hAnsi="宋体"/>
        </w:rPr>
        <w:t xml:space="preserve">-2010 </w:t>
      </w:r>
      <w:r>
        <w:rPr>
          <w:rFonts w:ascii="宋体" w:hAnsi="宋体"/>
        </w:rPr>
        <w:t xml:space="preserve"> </w:t>
      </w:r>
      <w:r>
        <w:rPr>
          <w:rFonts w:hint="eastAsia" w:ascii="宋体" w:hAnsi="宋体"/>
        </w:rPr>
        <w:t xml:space="preserve">  混凝土强度检验评定标准</w:t>
      </w:r>
    </w:p>
    <w:p>
      <w:pPr>
        <w:numPr>
          <w:ilvl w:val="0"/>
          <w:numId w:val="8"/>
        </w:numPr>
        <w:spacing w:line="276" w:lineRule="auto"/>
        <w:jc w:val="left"/>
        <w:rPr>
          <w:rFonts w:ascii="宋体" w:hAnsi="宋体"/>
        </w:rPr>
      </w:pPr>
      <w:r>
        <w:rPr>
          <w:rFonts w:hint="eastAsia" w:ascii="宋体" w:hAnsi="宋体"/>
        </w:rPr>
        <w:t xml:space="preserve">GB50164-2011   </w:t>
      </w:r>
      <w:r>
        <w:rPr>
          <w:rFonts w:ascii="宋体" w:hAnsi="宋体"/>
        </w:rPr>
        <w:t xml:space="preserve"> </w:t>
      </w:r>
      <w:r>
        <w:rPr>
          <w:rFonts w:hint="eastAsia" w:ascii="宋体" w:hAnsi="宋体"/>
        </w:rPr>
        <w:t xml:space="preserve">  混凝土质量控制标准</w:t>
      </w:r>
    </w:p>
    <w:p>
      <w:pPr>
        <w:numPr>
          <w:ilvl w:val="0"/>
          <w:numId w:val="8"/>
        </w:numPr>
        <w:spacing w:line="276" w:lineRule="auto"/>
        <w:jc w:val="left"/>
        <w:rPr>
          <w:rFonts w:ascii="宋体" w:hAnsi="宋体"/>
        </w:rPr>
      </w:pPr>
      <w:r>
        <w:rPr>
          <w:rFonts w:hint="eastAsia" w:ascii="宋体" w:hAnsi="宋体"/>
        </w:rPr>
        <w:t xml:space="preserve">GB/T50841-2013  </w:t>
      </w:r>
      <w:r>
        <w:rPr>
          <w:rFonts w:ascii="宋体" w:hAnsi="宋体"/>
        </w:rPr>
        <w:t xml:space="preserve"> </w:t>
      </w:r>
      <w:r>
        <w:rPr>
          <w:rFonts w:hint="eastAsia" w:ascii="宋体" w:hAnsi="宋体"/>
        </w:rPr>
        <w:t xml:space="preserve"> 建设工程分类标准</w:t>
      </w:r>
    </w:p>
    <w:p>
      <w:pPr>
        <w:numPr>
          <w:ilvl w:val="0"/>
          <w:numId w:val="8"/>
        </w:numPr>
        <w:spacing w:line="276" w:lineRule="auto"/>
        <w:jc w:val="left"/>
        <w:rPr>
          <w:rFonts w:ascii="宋体" w:hAnsi="宋体"/>
        </w:rPr>
      </w:pPr>
      <w:r>
        <w:rPr>
          <w:rFonts w:hint="eastAsia" w:ascii="宋体" w:hAnsi="宋体"/>
        </w:rPr>
        <w:t>GB/T50844-2013    工程建设标准实施评价规范</w:t>
      </w:r>
    </w:p>
    <w:p>
      <w:pPr>
        <w:numPr>
          <w:ilvl w:val="0"/>
          <w:numId w:val="8"/>
        </w:numPr>
        <w:spacing w:line="276" w:lineRule="auto"/>
        <w:jc w:val="left"/>
        <w:rPr>
          <w:rFonts w:ascii="宋体" w:hAnsi="宋体"/>
        </w:rPr>
      </w:pPr>
      <w:r>
        <w:rPr>
          <w:rFonts w:hint="eastAsia" w:ascii="宋体" w:hAnsi="宋体"/>
        </w:rPr>
        <w:t>JGJ/T317-2014     建筑工程裂缝防治技术规程</w:t>
      </w:r>
    </w:p>
    <w:p>
      <w:pPr>
        <w:numPr>
          <w:ilvl w:val="0"/>
          <w:numId w:val="8"/>
        </w:numPr>
        <w:spacing w:line="276" w:lineRule="auto"/>
        <w:jc w:val="left"/>
        <w:rPr>
          <w:rFonts w:ascii="宋体" w:hAnsi="宋体"/>
        </w:rPr>
      </w:pPr>
      <w:r>
        <w:rPr>
          <w:rFonts w:hint="eastAsia" w:ascii="宋体" w:hAnsi="宋体"/>
        </w:rPr>
        <w:t>JGJ/T187-20</w:t>
      </w:r>
      <w:r>
        <w:rPr>
          <w:rFonts w:ascii="宋体" w:hAnsi="宋体"/>
        </w:rPr>
        <w:t>19</w:t>
      </w:r>
      <w:r>
        <w:rPr>
          <w:rFonts w:hint="eastAsia" w:ascii="宋体" w:hAnsi="宋体"/>
        </w:rPr>
        <w:t xml:space="preserve">     塔式起重机混凝土基础工程技术标准</w:t>
      </w:r>
    </w:p>
    <w:p>
      <w:pPr>
        <w:numPr>
          <w:ilvl w:val="0"/>
          <w:numId w:val="8"/>
        </w:numPr>
        <w:spacing w:line="276" w:lineRule="auto"/>
        <w:jc w:val="left"/>
        <w:rPr>
          <w:rFonts w:ascii="宋体" w:hAnsi="宋体"/>
        </w:rPr>
      </w:pPr>
      <w:r>
        <w:rPr>
          <w:rFonts w:hint="eastAsia" w:ascii="宋体" w:hAnsi="宋体"/>
        </w:rPr>
        <w:t>JGJ/T178-2009     补偿收缩混凝土应用技术规程</w:t>
      </w:r>
    </w:p>
    <w:p>
      <w:pPr>
        <w:numPr>
          <w:ilvl w:val="0"/>
          <w:numId w:val="8"/>
        </w:numPr>
        <w:spacing w:line="276" w:lineRule="auto"/>
        <w:jc w:val="left"/>
        <w:rPr>
          <w:rFonts w:ascii="宋体" w:hAnsi="宋体"/>
        </w:rPr>
      </w:pPr>
      <w:r>
        <w:rPr>
          <w:rFonts w:hint="eastAsia" w:ascii="宋体" w:hAnsi="宋体"/>
        </w:rPr>
        <w:t>GB50009-2012      建筑结构荷载规范</w:t>
      </w:r>
    </w:p>
    <w:p>
      <w:pPr>
        <w:numPr>
          <w:ilvl w:val="0"/>
          <w:numId w:val="8"/>
        </w:numPr>
        <w:spacing w:line="276" w:lineRule="auto"/>
        <w:jc w:val="left"/>
        <w:rPr>
          <w:rFonts w:ascii="宋体" w:hAnsi="宋体"/>
        </w:rPr>
      </w:pPr>
      <w:r>
        <w:rPr>
          <w:rFonts w:hint="eastAsia" w:ascii="宋体" w:hAnsi="宋体"/>
        </w:rPr>
        <w:t>GB/T50905-2014    建筑工程绿色施工规范</w:t>
      </w:r>
    </w:p>
    <w:p>
      <w:pPr>
        <w:numPr>
          <w:ilvl w:val="0"/>
          <w:numId w:val="8"/>
        </w:numPr>
        <w:spacing w:line="276" w:lineRule="auto"/>
        <w:jc w:val="left"/>
        <w:rPr>
          <w:rFonts w:ascii="宋体" w:hAnsi="宋体"/>
        </w:rPr>
      </w:pPr>
      <w:r>
        <w:rPr>
          <w:rFonts w:hint="eastAsia" w:ascii="宋体" w:hAnsi="宋体"/>
        </w:rPr>
        <w:t>GB50325-20</w:t>
      </w:r>
      <w:r>
        <w:rPr>
          <w:rFonts w:ascii="宋体" w:hAnsi="宋体"/>
        </w:rPr>
        <w:t>20</w:t>
      </w:r>
      <w:r>
        <w:rPr>
          <w:rFonts w:hint="eastAsia" w:ascii="宋体" w:hAnsi="宋体"/>
        </w:rPr>
        <w:t xml:space="preserve">      民用建筑工程室内环境污染控制规范</w:t>
      </w:r>
    </w:p>
    <w:p>
      <w:pPr>
        <w:numPr>
          <w:ilvl w:val="0"/>
          <w:numId w:val="8"/>
        </w:numPr>
        <w:spacing w:line="276" w:lineRule="auto"/>
        <w:jc w:val="left"/>
        <w:rPr>
          <w:rFonts w:ascii="宋体" w:hAnsi="宋体"/>
        </w:rPr>
      </w:pPr>
      <w:r>
        <w:rPr>
          <w:rFonts w:ascii="宋体" w:hAnsi="宋体"/>
        </w:rPr>
        <w:t xml:space="preserve">GB55016-2021     </w:t>
      </w:r>
      <w:r>
        <w:rPr>
          <w:rFonts w:hint="eastAsia" w:ascii="宋体" w:hAnsi="宋体"/>
        </w:rPr>
        <w:t xml:space="preserve"> 建筑环境通用规范</w:t>
      </w:r>
    </w:p>
    <w:p>
      <w:pPr>
        <w:numPr>
          <w:ilvl w:val="0"/>
          <w:numId w:val="8"/>
        </w:numPr>
        <w:spacing w:line="276" w:lineRule="auto"/>
        <w:jc w:val="left"/>
        <w:rPr>
          <w:rFonts w:ascii="宋体" w:hAnsi="宋体"/>
        </w:rPr>
      </w:pPr>
      <w:r>
        <w:rPr>
          <w:rFonts w:ascii="宋体" w:hAnsi="宋体"/>
        </w:rPr>
        <w:t xml:space="preserve">GB/T51212-2016    </w:t>
      </w:r>
      <w:r>
        <w:rPr>
          <w:rFonts w:hint="eastAsia" w:ascii="宋体" w:hAnsi="宋体"/>
        </w:rPr>
        <w:t>建筑信息模型应用统一标准</w:t>
      </w:r>
    </w:p>
    <w:p>
      <w:pPr>
        <w:numPr>
          <w:ilvl w:val="0"/>
          <w:numId w:val="8"/>
        </w:numPr>
        <w:spacing w:line="276" w:lineRule="auto"/>
        <w:jc w:val="left"/>
        <w:rPr>
          <w:rFonts w:ascii="宋体" w:hAnsi="宋体"/>
        </w:rPr>
      </w:pPr>
      <w:r>
        <w:rPr>
          <w:rFonts w:ascii="宋体" w:hAnsi="宋体"/>
        </w:rPr>
        <w:t xml:space="preserve">GB/T51235-2017    </w:t>
      </w:r>
      <w:r>
        <w:rPr>
          <w:rFonts w:hint="eastAsia" w:ascii="宋体" w:hAnsi="宋体"/>
        </w:rPr>
        <w:t>建筑信息模型施工应用标准</w:t>
      </w:r>
    </w:p>
    <w:p>
      <w:pPr>
        <w:numPr>
          <w:ilvl w:val="0"/>
          <w:numId w:val="8"/>
        </w:numPr>
        <w:spacing w:line="276" w:lineRule="auto"/>
        <w:jc w:val="left"/>
        <w:rPr>
          <w:rFonts w:ascii="宋体" w:hAnsi="宋体"/>
        </w:rPr>
      </w:pPr>
      <w:r>
        <w:rPr>
          <w:rFonts w:ascii="宋体" w:hAnsi="宋体"/>
        </w:rPr>
        <w:t xml:space="preserve">GB/T51269-2017    </w:t>
      </w:r>
      <w:r>
        <w:rPr>
          <w:rFonts w:hint="eastAsia" w:ascii="宋体" w:hAnsi="宋体"/>
        </w:rPr>
        <w:t>建筑信息模型分类和编码标准</w:t>
      </w:r>
    </w:p>
    <w:p>
      <w:pPr>
        <w:numPr>
          <w:ilvl w:val="0"/>
          <w:numId w:val="8"/>
        </w:numPr>
        <w:spacing w:line="276" w:lineRule="auto"/>
        <w:jc w:val="left"/>
        <w:rPr>
          <w:rFonts w:ascii="宋体" w:hAnsi="宋体"/>
        </w:rPr>
      </w:pPr>
      <w:r>
        <w:rPr>
          <w:rFonts w:ascii="宋体" w:hAnsi="宋体"/>
        </w:rPr>
        <w:t xml:space="preserve">GB/T51301-2018    </w:t>
      </w:r>
      <w:r>
        <w:rPr>
          <w:rFonts w:hint="eastAsia" w:ascii="宋体" w:hAnsi="宋体"/>
        </w:rPr>
        <w:t>建筑信息模型设计交付标准</w:t>
      </w:r>
    </w:p>
    <w:p>
      <w:pPr>
        <w:numPr>
          <w:ilvl w:val="0"/>
          <w:numId w:val="8"/>
        </w:numPr>
        <w:spacing w:line="276" w:lineRule="auto"/>
        <w:jc w:val="left"/>
        <w:rPr>
          <w:rFonts w:ascii="宋体" w:hAnsi="宋体"/>
        </w:rPr>
      </w:pPr>
      <w:r>
        <w:rPr>
          <w:rFonts w:ascii="宋体" w:hAnsi="宋体"/>
        </w:rPr>
        <w:t xml:space="preserve">GB/T51447-2021    </w:t>
      </w:r>
      <w:r>
        <w:rPr>
          <w:rFonts w:hint="eastAsia" w:ascii="宋体" w:hAnsi="宋体"/>
        </w:rPr>
        <w:t>建筑信息模型存储标准</w:t>
      </w:r>
    </w:p>
    <w:p>
      <w:pPr>
        <w:numPr>
          <w:ilvl w:val="0"/>
          <w:numId w:val="8"/>
        </w:numPr>
        <w:spacing w:line="276" w:lineRule="auto"/>
        <w:jc w:val="left"/>
        <w:rPr>
          <w:rFonts w:ascii="宋体" w:hAnsi="宋体"/>
        </w:rPr>
      </w:pPr>
      <w:r>
        <w:rPr>
          <w:rFonts w:ascii="宋体" w:hAnsi="宋体"/>
        </w:rPr>
        <w:t xml:space="preserve">T/CECS984-2021    </w:t>
      </w:r>
      <w:r>
        <w:rPr>
          <w:rFonts w:hint="eastAsia" w:ascii="宋体" w:hAnsi="宋体"/>
        </w:rPr>
        <w:t>基于建筑信息模型的综合管廊设备与设施管理编码标准</w:t>
      </w:r>
    </w:p>
    <w:p>
      <w:pPr>
        <w:numPr>
          <w:ilvl w:val="0"/>
          <w:numId w:val="8"/>
        </w:numPr>
        <w:spacing w:line="276" w:lineRule="auto"/>
        <w:jc w:val="left"/>
        <w:rPr>
          <w:rFonts w:ascii="宋体" w:hAnsi="宋体"/>
        </w:rPr>
      </w:pPr>
      <w:r>
        <w:rPr>
          <w:rFonts w:ascii="宋体" w:hAnsi="宋体"/>
        </w:rPr>
        <w:t xml:space="preserve">T/CBDA3-2016      </w:t>
      </w:r>
      <w:r>
        <w:rPr>
          <w:rFonts w:hint="eastAsia" w:ascii="宋体" w:hAnsi="宋体"/>
        </w:rPr>
        <w:t>建筑装饰装修工程BIM实施标准</w:t>
      </w:r>
    </w:p>
    <w:p>
      <w:pPr>
        <w:numPr>
          <w:ilvl w:val="0"/>
          <w:numId w:val="8"/>
        </w:numPr>
        <w:spacing w:line="276" w:lineRule="auto"/>
        <w:jc w:val="left"/>
        <w:rPr>
          <w:rFonts w:ascii="宋体" w:hAnsi="宋体"/>
        </w:rPr>
      </w:pPr>
      <w:r>
        <w:rPr>
          <w:rFonts w:ascii="宋体" w:hAnsi="宋体"/>
        </w:rPr>
        <w:t xml:space="preserve">DGJ08-2139-2021    </w:t>
      </w:r>
      <w:r>
        <w:rPr>
          <w:rFonts w:hint="eastAsia" w:ascii="宋体" w:hAnsi="宋体"/>
          <w:lang w:val="en-US" w:eastAsia="zh-CN"/>
        </w:rPr>
        <w:t>民用</w:t>
      </w:r>
      <w:r>
        <w:rPr>
          <w:rFonts w:hint="eastAsia" w:ascii="宋体" w:hAnsi="宋体"/>
        </w:rPr>
        <w:t>建筑绿色设计</w:t>
      </w:r>
      <w:r>
        <w:rPr>
          <w:rFonts w:hint="eastAsia" w:ascii="宋体" w:hAnsi="宋体"/>
          <w:lang w:val="en-US" w:eastAsia="zh-CN"/>
        </w:rPr>
        <w:t>规范</w:t>
      </w:r>
    </w:p>
    <w:p>
      <w:pPr>
        <w:numPr>
          <w:ilvl w:val="0"/>
          <w:numId w:val="8"/>
        </w:numPr>
        <w:spacing w:line="276" w:lineRule="auto"/>
        <w:jc w:val="left"/>
        <w:rPr>
          <w:rFonts w:ascii="宋体" w:hAnsi="宋体"/>
        </w:rPr>
      </w:pPr>
      <w:r>
        <w:rPr>
          <w:rFonts w:ascii="宋体" w:hAnsi="宋体"/>
        </w:rPr>
        <w:t xml:space="preserve">T/CECS865-2021     </w:t>
      </w:r>
      <w:r>
        <w:rPr>
          <w:rFonts w:hint="eastAsia" w:ascii="宋体" w:hAnsi="宋体"/>
        </w:rPr>
        <w:t>海绵城市系统方案编制技术导则</w:t>
      </w:r>
    </w:p>
    <w:p>
      <w:pPr>
        <w:numPr>
          <w:ilvl w:val="0"/>
          <w:numId w:val="8"/>
        </w:numPr>
        <w:spacing w:line="276" w:lineRule="auto"/>
        <w:jc w:val="left"/>
        <w:rPr>
          <w:rFonts w:ascii="宋体" w:hAnsi="宋体"/>
        </w:rPr>
      </w:pPr>
      <w:r>
        <w:rPr>
          <w:rFonts w:ascii="宋体" w:hAnsi="宋体"/>
        </w:rPr>
        <w:t xml:space="preserve">T/CECS10140-2021   </w:t>
      </w:r>
      <w:r>
        <w:rPr>
          <w:rFonts w:hint="eastAsia" w:ascii="宋体" w:hAnsi="宋体"/>
        </w:rPr>
        <w:t>超低能耗建筑用门窗认证通用技术要求</w:t>
      </w:r>
    </w:p>
    <w:p>
      <w:pPr>
        <w:spacing w:line="276" w:lineRule="auto"/>
        <w:ind w:firstLine="420" w:firstLineChars="200"/>
        <w:jc w:val="left"/>
        <w:rPr>
          <w:rFonts w:ascii="宋体" w:hAnsi="宋体"/>
        </w:rPr>
      </w:pPr>
      <w:r>
        <w:rPr>
          <w:rFonts w:hint="eastAsia" w:ascii="宋体" w:hAnsi="宋体"/>
        </w:rPr>
        <w:t xml:space="preserve">8.1.3.6  材料及应用     </w:t>
      </w:r>
    </w:p>
    <w:p>
      <w:pPr>
        <w:numPr>
          <w:ilvl w:val="0"/>
          <w:numId w:val="9"/>
        </w:numPr>
        <w:spacing w:line="276" w:lineRule="auto"/>
        <w:jc w:val="left"/>
        <w:rPr>
          <w:rFonts w:ascii="宋体" w:hAnsi="宋体"/>
        </w:rPr>
      </w:pPr>
      <w:r>
        <w:rPr>
          <w:rFonts w:hint="eastAsia" w:ascii="宋体" w:hAnsi="宋体"/>
        </w:rPr>
        <w:t>GB50119－20</w:t>
      </w:r>
      <w:r>
        <w:rPr>
          <w:rFonts w:ascii="宋体" w:hAnsi="宋体"/>
        </w:rPr>
        <w:t>1</w:t>
      </w:r>
      <w:r>
        <w:rPr>
          <w:rFonts w:hint="eastAsia" w:ascii="宋体" w:hAnsi="宋体"/>
        </w:rPr>
        <w:t>3     混凝土外加剂应用技术规范</w:t>
      </w:r>
    </w:p>
    <w:p>
      <w:pPr>
        <w:numPr>
          <w:ilvl w:val="0"/>
          <w:numId w:val="9"/>
        </w:numPr>
        <w:spacing w:line="276" w:lineRule="auto"/>
        <w:jc w:val="left"/>
        <w:rPr>
          <w:rFonts w:ascii="宋体" w:hAnsi="宋体"/>
        </w:rPr>
      </w:pPr>
      <w:r>
        <w:rPr>
          <w:rFonts w:hint="eastAsia" w:ascii="宋体" w:hAnsi="宋体"/>
        </w:rPr>
        <w:t>GB50164-2011      混凝土质量控制标准</w:t>
      </w:r>
    </w:p>
    <w:p>
      <w:pPr>
        <w:numPr>
          <w:ilvl w:val="0"/>
          <w:numId w:val="9"/>
        </w:numPr>
        <w:spacing w:line="276" w:lineRule="auto"/>
        <w:jc w:val="left"/>
        <w:rPr>
          <w:rFonts w:ascii="宋体" w:hAnsi="宋体"/>
        </w:rPr>
      </w:pPr>
      <w:r>
        <w:rPr>
          <w:rFonts w:hint="eastAsia" w:ascii="宋体" w:hAnsi="宋体"/>
        </w:rPr>
        <w:t>GB</w:t>
      </w:r>
      <w:r>
        <w:rPr>
          <w:rFonts w:ascii="宋体" w:hAnsi="宋体"/>
        </w:rPr>
        <w:t>/T</w:t>
      </w:r>
      <w:r>
        <w:rPr>
          <w:rFonts w:hint="eastAsia" w:ascii="宋体" w:hAnsi="宋体"/>
        </w:rPr>
        <w:t>50290-</w:t>
      </w:r>
      <w:r>
        <w:rPr>
          <w:rFonts w:ascii="宋体" w:hAnsi="宋体"/>
        </w:rPr>
        <w:t>2014</w:t>
      </w:r>
      <w:r>
        <w:rPr>
          <w:rFonts w:hint="eastAsia" w:ascii="宋体" w:hAnsi="宋体"/>
        </w:rPr>
        <w:t xml:space="preserve">    土工合成材料应用技术规范</w:t>
      </w:r>
    </w:p>
    <w:p>
      <w:pPr>
        <w:numPr>
          <w:ilvl w:val="0"/>
          <w:numId w:val="9"/>
        </w:numPr>
        <w:spacing w:line="276" w:lineRule="auto"/>
        <w:jc w:val="left"/>
        <w:rPr>
          <w:rFonts w:ascii="宋体" w:hAnsi="宋体"/>
        </w:rPr>
      </w:pPr>
      <w:r>
        <w:rPr>
          <w:rFonts w:hint="eastAsia" w:ascii="宋体" w:hAnsi="宋体"/>
        </w:rPr>
        <w:t>GB</w:t>
      </w:r>
      <w:r>
        <w:rPr>
          <w:rFonts w:ascii="宋体" w:hAnsi="宋体"/>
        </w:rPr>
        <w:t>/T50</w:t>
      </w:r>
      <w:r>
        <w:rPr>
          <w:rFonts w:hint="eastAsia" w:ascii="宋体" w:hAnsi="宋体"/>
        </w:rPr>
        <w:t>107-2010    混凝土强度检验评定标准</w:t>
      </w:r>
    </w:p>
    <w:p>
      <w:pPr>
        <w:numPr>
          <w:ilvl w:val="0"/>
          <w:numId w:val="9"/>
        </w:numPr>
        <w:spacing w:line="276" w:lineRule="auto"/>
        <w:jc w:val="left"/>
        <w:rPr>
          <w:rFonts w:ascii="宋体" w:hAnsi="宋体"/>
        </w:rPr>
      </w:pPr>
      <w:r>
        <w:rPr>
          <w:rFonts w:hint="eastAsia" w:ascii="宋体" w:hAnsi="宋体"/>
        </w:rPr>
        <w:t>GB</w:t>
      </w:r>
      <w:r>
        <w:rPr>
          <w:rFonts w:ascii="宋体" w:hAnsi="宋体"/>
        </w:rPr>
        <w:t>/T50146</w:t>
      </w:r>
      <w:r>
        <w:rPr>
          <w:rFonts w:hint="eastAsia" w:ascii="宋体" w:hAnsi="宋体"/>
        </w:rPr>
        <w:t>－</w:t>
      </w:r>
      <w:r>
        <w:rPr>
          <w:rFonts w:ascii="宋体" w:hAnsi="宋体"/>
        </w:rPr>
        <w:t>2014</w:t>
      </w:r>
      <w:r>
        <w:rPr>
          <w:rFonts w:hint="eastAsia" w:ascii="宋体" w:hAnsi="宋体"/>
        </w:rPr>
        <w:t xml:space="preserve">   粉煤灰混凝土应用技术规范</w:t>
      </w:r>
    </w:p>
    <w:p>
      <w:pPr>
        <w:numPr>
          <w:ilvl w:val="0"/>
          <w:numId w:val="9"/>
        </w:numPr>
        <w:spacing w:line="276" w:lineRule="auto"/>
        <w:jc w:val="left"/>
        <w:rPr>
          <w:rFonts w:ascii="宋体" w:hAnsi="宋体"/>
        </w:rPr>
      </w:pPr>
      <w:r>
        <w:rPr>
          <w:rFonts w:hint="eastAsia" w:ascii="宋体" w:hAnsi="宋体"/>
        </w:rPr>
        <w:t>GB</w:t>
      </w:r>
      <w:r>
        <w:rPr>
          <w:rFonts w:ascii="宋体" w:hAnsi="宋体"/>
        </w:rPr>
        <w:t>/</w:t>
      </w:r>
      <w:r>
        <w:rPr>
          <w:rFonts w:hint="eastAsia" w:ascii="宋体" w:hAnsi="宋体"/>
        </w:rPr>
        <w:t>T50080-20</w:t>
      </w:r>
      <w:r>
        <w:rPr>
          <w:rFonts w:ascii="宋体" w:hAnsi="宋体"/>
        </w:rPr>
        <w:t>16</w:t>
      </w:r>
      <w:r>
        <w:rPr>
          <w:rFonts w:hint="eastAsia" w:ascii="宋体" w:hAnsi="宋体"/>
        </w:rPr>
        <w:t xml:space="preserve">    普通混凝土拌合物性能试验方法标准</w:t>
      </w:r>
    </w:p>
    <w:p>
      <w:pPr>
        <w:numPr>
          <w:ilvl w:val="0"/>
          <w:numId w:val="9"/>
        </w:numPr>
        <w:spacing w:line="276" w:lineRule="auto"/>
        <w:jc w:val="left"/>
        <w:rPr>
          <w:rFonts w:ascii="宋体" w:hAnsi="宋体"/>
        </w:rPr>
      </w:pPr>
      <w:r>
        <w:rPr>
          <w:rFonts w:hint="eastAsia" w:ascii="宋体" w:hAnsi="宋体"/>
        </w:rPr>
        <w:t>GB/T50081-20</w:t>
      </w:r>
      <w:r>
        <w:rPr>
          <w:rFonts w:ascii="宋体" w:hAnsi="宋体"/>
        </w:rPr>
        <w:t>19</w:t>
      </w:r>
      <w:r>
        <w:rPr>
          <w:rFonts w:hint="eastAsia" w:ascii="宋体" w:hAnsi="宋体"/>
        </w:rPr>
        <w:t xml:space="preserve">    混凝土物理力学性能试验方法标准</w:t>
      </w:r>
    </w:p>
    <w:p>
      <w:pPr>
        <w:numPr>
          <w:ilvl w:val="0"/>
          <w:numId w:val="9"/>
        </w:numPr>
        <w:spacing w:line="276" w:lineRule="auto"/>
        <w:jc w:val="left"/>
        <w:rPr>
          <w:rFonts w:ascii="宋体" w:hAnsi="宋体"/>
        </w:rPr>
      </w:pPr>
      <w:r>
        <w:rPr>
          <w:rFonts w:hint="eastAsia" w:ascii="宋体" w:hAnsi="宋体"/>
        </w:rPr>
        <w:t>GB/T50448-20</w:t>
      </w:r>
      <w:r>
        <w:rPr>
          <w:rFonts w:ascii="宋体" w:hAnsi="宋体"/>
        </w:rPr>
        <w:t>15</w:t>
      </w:r>
      <w:r>
        <w:rPr>
          <w:rFonts w:hint="eastAsia" w:ascii="宋体" w:hAnsi="宋体"/>
        </w:rPr>
        <w:t xml:space="preserve">    水泥基灌浆材料应用技术规范</w:t>
      </w:r>
    </w:p>
    <w:p>
      <w:pPr>
        <w:numPr>
          <w:ilvl w:val="0"/>
          <w:numId w:val="9"/>
        </w:numPr>
        <w:spacing w:line="276" w:lineRule="auto"/>
        <w:jc w:val="left"/>
        <w:rPr>
          <w:rFonts w:ascii="宋体" w:hAnsi="宋体"/>
        </w:rPr>
      </w:pPr>
      <w:r>
        <w:rPr>
          <w:rFonts w:hint="eastAsia" w:ascii="宋体" w:hAnsi="宋体"/>
        </w:rPr>
        <w:t>JGJ113-20</w:t>
      </w:r>
      <w:r>
        <w:rPr>
          <w:rFonts w:ascii="宋体" w:hAnsi="宋体"/>
        </w:rPr>
        <w:t>15</w:t>
      </w:r>
      <w:r>
        <w:rPr>
          <w:rFonts w:hint="eastAsia" w:ascii="宋体" w:hAnsi="宋体"/>
        </w:rPr>
        <w:t xml:space="preserve">       建筑玻璃应用技术规程</w:t>
      </w:r>
    </w:p>
    <w:p>
      <w:pPr>
        <w:numPr>
          <w:ilvl w:val="0"/>
          <w:numId w:val="9"/>
        </w:numPr>
        <w:spacing w:line="276" w:lineRule="auto"/>
        <w:jc w:val="left"/>
        <w:rPr>
          <w:rFonts w:ascii="宋体" w:hAnsi="宋体"/>
        </w:rPr>
      </w:pPr>
      <w:r>
        <w:rPr>
          <w:rFonts w:hint="eastAsia" w:ascii="宋体" w:hAnsi="宋体"/>
        </w:rPr>
        <w:t>JGJ/</w:t>
      </w:r>
      <w:r>
        <w:rPr>
          <w:rFonts w:ascii="宋体" w:hAnsi="宋体"/>
        </w:rPr>
        <w:t>T12</w:t>
      </w:r>
      <w:r>
        <w:rPr>
          <w:rFonts w:hint="eastAsia" w:ascii="宋体" w:hAnsi="宋体"/>
        </w:rPr>
        <w:t>-20</w:t>
      </w:r>
      <w:r>
        <w:rPr>
          <w:rFonts w:ascii="宋体" w:hAnsi="宋体"/>
        </w:rPr>
        <w:t>19</w:t>
      </w:r>
      <w:r>
        <w:rPr>
          <w:rFonts w:hint="eastAsia" w:ascii="宋体" w:hAnsi="宋体"/>
        </w:rPr>
        <w:t xml:space="preserve">      轻骨料混凝土应用技术标准</w:t>
      </w:r>
    </w:p>
    <w:p>
      <w:pPr>
        <w:numPr>
          <w:ilvl w:val="0"/>
          <w:numId w:val="9"/>
        </w:numPr>
        <w:spacing w:line="276" w:lineRule="auto"/>
        <w:jc w:val="left"/>
        <w:rPr>
          <w:rFonts w:ascii="宋体" w:hAnsi="宋体"/>
        </w:rPr>
      </w:pPr>
      <w:r>
        <w:rPr>
          <w:rFonts w:hint="eastAsia" w:ascii="宋体" w:hAnsi="宋体"/>
        </w:rPr>
        <w:t>JGJ52-2006        普通混凝土用砂、石质量及检验方法标准</w:t>
      </w:r>
    </w:p>
    <w:p>
      <w:pPr>
        <w:numPr>
          <w:ilvl w:val="0"/>
          <w:numId w:val="9"/>
        </w:numPr>
        <w:spacing w:line="276" w:lineRule="auto"/>
        <w:jc w:val="left"/>
        <w:rPr>
          <w:rFonts w:ascii="宋体" w:hAnsi="宋体"/>
        </w:rPr>
      </w:pPr>
      <w:r>
        <w:rPr>
          <w:rFonts w:hint="eastAsia" w:ascii="宋体" w:hAnsi="宋体"/>
        </w:rPr>
        <w:t>JGJ55-2011        普通混凝土配合比设计规程</w:t>
      </w:r>
    </w:p>
    <w:p>
      <w:pPr>
        <w:numPr>
          <w:ilvl w:val="0"/>
          <w:numId w:val="9"/>
        </w:numPr>
        <w:spacing w:line="276" w:lineRule="auto"/>
        <w:jc w:val="left"/>
        <w:rPr>
          <w:rFonts w:ascii="宋体" w:hAnsi="宋体"/>
        </w:rPr>
      </w:pPr>
      <w:r>
        <w:rPr>
          <w:rFonts w:hint="eastAsia" w:ascii="宋体" w:hAnsi="宋体"/>
        </w:rPr>
        <w:t>JGJ63－2006       混凝土用水标准</w:t>
      </w:r>
    </w:p>
    <w:p>
      <w:pPr>
        <w:numPr>
          <w:ilvl w:val="0"/>
          <w:numId w:val="9"/>
        </w:numPr>
        <w:spacing w:line="276" w:lineRule="auto"/>
        <w:jc w:val="left"/>
        <w:rPr>
          <w:rFonts w:ascii="宋体" w:hAnsi="宋体"/>
        </w:rPr>
      </w:pPr>
      <w:r>
        <w:rPr>
          <w:rFonts w:hint="eastAsia" w:ascii="宋体" w:hAnsi="宋体"/>
        </w:rPr>
        <w:t>JGJ</w:t>
      </w:r>
      <w:r>
        <w:rPr>
          <w:rFonts w:ascii="宋体" w:hAnsi="宋体"/>
        </w:rPr>
        <w:t>/T</w:t>
      </w:r>
      <w:r>
        <w:rPr>
          <w:rFonts w:hint="eastAsia" w:ascii="宋体" w:hAnsi="宋体"/>
        </w:rPr>
        <w:t>98-2010      砌筑砂浆配合比设计规程</w:t>
      </w:r>
    </w:p>
    <w:p>
      <w:pPr>
        <w:numPr>
          <w:ilvl w:val="0"/>
          <w:numId w:val="9"/>
        </w:numPr>
        <w:spacing w:line="276" w:lineRule="auto"/>
        <w:jc w:val="left"/>
        <w:rPr>
          <w:rFonts w:ascii="宋体" w:hAnsi="宋体"/>
        </w:rPr>
      </w:pPr>
      <w:r>
        <w:rPr>
          <w:rFonts w:hint="eastAsia" w:ascii="宋体" w:hAnsi="宋体"/>
        </w:rPr>
        <w:t>JGJ</w:t>
      </w:r>
      <w:r>
        <w:rPr>
          <w:rFonts w:ascii="宋体" w:hAnsi="宋体"/>
        </w:rPr>
        <w:t>/</w:t>
      </w:r>
      <w:r>
        <w:rPr>
          <w:rFonts w:hint="eastAsia" w:ascii="宋体" w:hAnsi="宋体"/>
        </w:rPr>
        <w:t>T15-20</w:t>
      </w:r>
      <w:r>
        <w:rPr>
          <w:rFonts w:ascii="宋体" w:hAnsi="宋体"/>
        </w:rPr>
        <w:t>21</w:t>
      </w:r>
      <w:r>
        <w:rPr>
          <w:rFonts w:hint="eastAsia" w:ascii="宋体" w:hAnsi="宋体"/>
        </w:rPr>
        <w:t xml:space="preserve">      早期推定混凝土强度试验方法标准</w:t>
      </w:r>
    </w:p>
    <w:p>
      <w:pPr>
        <w:numPr>
          <w:ilvl w:val="0"/>
          <w:numId w:val="9"/>
        </w:numPr>
        <w:spacing w:line="276" w:lineRule="auto"/>
        <w:jc w:val="left"/>
        <w:rPr>
          <w:rFonts w:ascii="宋体" w:hAnsi="宋体"/>
        </w:rPr>
      </w:pPr>
      <w:r>
        <w:rPr>
          <w:rFonts w:hint="eastAsia" w:ascii="宋体" w:hAnsi="宋体"/>
        </w:rPr>
        <w:t>JGJ</w:t>
      </w:r>
      <w:r>
        <w:rPr>
          <w:rFonts w:ascii="宋体" w:hAnsi="宋体"/>
        </w:rPr>
        <w:t>/</w:t>
      </w:r>
      <w:r>
        <w:rPr>
          <w:rFonts w:hint="eastAsia" w:ascii="宋体" w:hAnsi="宋体"/>
        </w:rPr>
        <w:t>T157-20</w:t>
      </w:r>
      <w:r>
        <w:rPr>
          <w:rFonts w:ascii="宋体" w:hAnsi="宋体"/>
        </w:rPr>
        <w:t>14</w:t>
      </w:r>
      <w:r>
        <w:rPr>
          <w:rFonts w:hint="eastAsia" w:ascii="宋体" w:hAnsi="宋体"/>
        </w:rPr>
        <w:t xml:space="preserve">     建筑轻质条板隔墙技术规程</w:t>
      </w:r>
    </w:p>
    <w:p>
      <w:pPr>
        <w:numPr>
          <w:ilvl w:val="0"/>
          <w:numId w:val="9"/>
        </w:numPr>
        <w:spacing w:line="276" w:lineRule="auto"/>
        <w:jc w:val="left"/>
        <w:rPr>
          <w:rFonts w:ascii="宋体" w:hAnsi="宋体"/>
        </w:rPr>
      </w:pPr>
      <w:r>
        <w:rPr>
          <w:rFonts w:hint="eastAsia" w:ascii="宋体" w:hAnsi="宋体"/>
        </w:rPr>
        <w:t>JGJ/T17-20</w:t>
      </w:r>
      <w:r>
        <w:rPr>
          <w:rFonts w:ascii="宋体" w:hAnsi="宋体"/>
        </w:rPr>
        <w:t>20</w:t>
      </w:r>
      <w:r>
        <w:rPr>
          <w:rFonts w:hint="eastAsia" w:ascii="宋体" w:hAnsi="宋体"/>
        </w:rPr>
        <w:t xml:space="preserve">      蒸压加气混凝土制品应用技术标准</w:t>
      </w:r>
    </w:p>
    <w:p>
      <w:pPr>
        <w:numPr>
          <w:ilvl w:val="0"/>
          <w:numId w:val="9"/>
        </w:numPr>
        <w:spacing w:line="276" w:lineRule="auto"/>
        <w:jc w:val="left"/>
        <w:rPr>
          <w:rFonts w:ascii="宋体" w:hAnsi="宋体"/>
        </w:rPr>
      </w:pPr>
      <w:r>
        <w:rPr>
          <w:rFonts w:hint="eastAsia" w:ascii="宋体" w:hAnsi="宋体"/>
        </w:rPr>
        <w:t>JGJ</w:t>
      </w:r>
      <w:r>
        <w:rPr>
          <w:rFonts w:ascii="宋体" w:hAnsi="宋体"/>
        </w:rPr>
        <w:t>/</w:t>
      </w:r>
      <w:r>
        <w:rPr>
          <w:rFonts w:hint="eastAsia" w:ascii="宋体" w:hAnsi="宋体"/>
        </w:rPr>
        <w:t>T178-2009     补偿收缩混凝土应用技术规程</w:t>
      </w:r>
    </w:p>
    <w:p>
      <w:pPr>
        <w:numPr>
          <w:ilvl w:val="0"/>
          <w:numId w:val="9"/>
        </w:numPr>
        <w:spacing w:line="276" w:lineRule="auto"/>
        <w:jc w:val="left"/>
        <w:rPr>
          <w:rFonts w:ascii="宋体" w:hAnsi="宋体"/>
        </w:rPr>
      </w:pPr>
      <w:r>
        <w:rPr>
          <w:rFonts w:hint="eastAsia" w:ascii="宋体" w:hAnsi="宋体"/>
        </w:rPr>
        <w:t>JGJ</w:t>
      </w:r>
      <w:r>
        <w:rPr>
          <w:rFonts w:ascii="宋体" w:hAnsi="宋体"/>
        </w:rPr>
        <w:t>/</w:t>
      </w:r>
      <w:r>
        <w:rPr>
          <w:rFonts w:hint="eastAsia" w:ascii="宋体" w:hAnsi="宋体"/>
        </w:rPr>
        <w:t>T27-20</w:t>
      </w:r>
      <w:r>
        <w:rPr>
          <w:rFonts w:ascii="宋体" w:hAnsi="宋体"/>
        </w:rPr>
        <w:t>14</w:t>
      </w:r>
      <w:r>
        <w:rPr>
          <w:rFonts w:hint="eastAsia" w:ascii="宋体" w:hAnsi="宋体"/>
        </w:rPr>
        <w:t xml:space="preserve">      钢筋焊接接头试验方法标准</w:t>
      </w:r>
    </w:p>
    <w:p>
      <w:pPr>
        <w:numPr>
          <w:ilvl w:val="0"/>
          <w:numId w:val="9"/>
        </w:numPr>
        <w:spacing w:line="276" w:lineRule="auto"/>
        <w:jc w:val="left"/>
        <w:rPr>
          <w:rFonts w:ascii="宋体" w:hAnsi="宋体"/>
        </w:rPr>
      </w:pPr>
      <w:r>
        <w:rPr>
          <w:rFonts w:hint="eastAsia" w:ascii="宋体" w:hAnsi="宋体"/>
        </w:rPr>
        <w:t>JGJ</w:t>
      </w:r>
      <w:r>
        <w:rPr>
          <w:rFonts w:ascii="宋体" w:hAnsi="宋体"/>
        </w:rPr>
        <w:t>/</w:t>
      </w:r>
      <w:r>
        <w:rPr>
          <w:rFonts w:hint="eastAsia" w:ascii="宋体" w:hAnsi="宋体"/>
        </w:rPr>
        <w:t>T70-2009      建筑砂浆基本性能试验方法标准</w:t>
      </w:r>
    </w:p>
    <w:p>
      <w:pPr>
        <w:numPr>
          <w:ilvl w:val="0"/>
          <w:numId w:val="9"/>
        </w:numPr>
        <w:spacing w:line="276" w:lineRule="auto"/>
        <w:jc w:val="left"/>
        <w:rPr>
          <w:rFonts w:ascii="宋体" w:hAnsi="宋体"/>
        </w:rPr>
      </w:pPr>
      <w:r>
        <w:rPr>
          <w:rFonts w:hint="eastAsia" w:ascii="宋体" w:hAnsi="宋体"/>
        </w:rPr>
        <w:t>GB50829-2013      租赁模板脚手架维修保养技术规范</w:t>
      </w:r>
    </w:p>
    <w:p>
      <w:pPr>
        <w:numPr>
          <w:ilvl w:val="0"/>
          <w:numId w:val="9"/>
        </w:numPr>
        <w:spacing w:line="276" w:lineRule="auto"/>
        <w:jc w:val="left"/>
        <w:rPr>
          <w:rFonts w:ascii="宋体" w:hAnsi="宋体"/>
        </w:rPr>
      </w:pPr>
      <w:r>
        <w:rPr>
          <w:rFonts w:hint="eastAsia" w:ascii="宋体" w:hAnsi="宋体"/>
        </w:rPr>
        <w:t>JGJ/T221-2010     纤维混凝土应用技术规程</w:t>
      </w:r>
    </w:p>
    <w:p>
      <w:pPr>
        <w:numPr>
          <w:ilvl w:val="0"/>
          <w:numId w:val="9"/>
        </w:numPr>
        <w:spacing w:line="276" w:lineRule="auto"/>
        <w:jc w:val="left"/>
        <w:rPr>
          <w:rFonts w:ascii="宋体" w:hAnsi="宋体"/>
        </w:rPr>
      </w:pPr>
      <w:r>
        <w:rPr>
          <w:rFonts w:hint="eastAsia" w:ascii="宋体" w:hAnsi="宋体"/>
        </w:rPr>
        <w:t>JGJ223-2010       预拌砂浆应用技术规程</w:t>
      </w:r>
    </w:p>
    <w:p>
      <w:pPr>
        <w:spacing w:line="276" w:lineRule="auto"/>
        <w:ind w:firstLine="420" w:firstLineChars="200"/>
        <w:jc w:val="left"/>
        <w:rPr>
          <w:rFonts w:ascii="宋体" w:hAnsi="宋体"/>
        </w:rPr>
      </w:pPr>
      <w:r>
        <w:rPr>
          <w:rFonts w:hint="eastAsia" w:ascii="宋体" w:hAnsi="宋体"/>
        </w:rPr>
        <w:t xml:space="preserve">8.1.3.7  检测技术      </w:t>
      </w:r>
    </w:p>
    <w:p>
      <w:pPr>
        <w:numPr>
          <w:ilvl w:val="0"/>
          <w:numId w:val="10"/>
        </w:numPr>
        <w:spacing w:line="276" w:lineRule="auto"/>
        <w:jc w:val="left"/>
        <w:rPr>
          <w:rFonts w:ascii="宋体" w:hAnsi="宋体"/>
        </w:rPr>
      </w:pPr>
      <w:r>
        <w:rPr>
          <w:rFonts w:hint="eastAsia" w:ascii="宋体" w:hAnsi="宋体"/>
        </w:rPr>
        <w:t>GB</w:t>
      </w:r>
      <w:r>
        <w:rPr>
          <w:rFonts w:ascii="宋体" w:hAnsi="宋体"/>
        </w:rPr>
        <w:t>/T</w:t>
      </w:r>
      <w:r>
        <w:rPr>
          <w:rFonts w:hint="eastAsia" w:ascii="宋体" w:hAnsi="宋体"/>
        </w:rPr>
        <w:t>50152-2012    混凝土结构试验方法标准</w:t>
      </w:r>
    </w:p>
    <w:p>
      <w:pPr>
        <w:numPr>
          <w:ilvl w:val="0"/>
          <w:numId w:val="10"/>
        </w:numPr>
        <w:spacing w:line="276" w:lineRule="auto"/>
        <w:jc w:val="left"/>
        <w:rPr>
          <w:rFonts w:ascii="宋体" w:hAnsi="宋体"/>
        </w:rPr>
      </w:pPr>
      <w:r>
        <w:rPr>
          <w:rFonts w:hint="eastAsia" w:ascii="宋体" w:hAnsi="宋体"/>
        </w:rPr>
        <w:t>GB/T50315-2011     砌体工程现场检测技术标准</w:t>
      </w:r>
    </w:p>
    <w:p>
      <w:pPr>
        <w:numPr>
          <w:ilvl w:val="0"/>
          <w:numId w:val="10"/>
        </w:numPr>
        <w:spacing w:line="276" w:lineRule="auto"/>
        <w:jc w:val="left"/>
        <w:rPr>
          <w:rFonts w:ascii="宋体" w:hAnsi="宋体"/>
        </w:rPr>
      </w:pPr>
      <w:r>
        <w:rPr>
          <w:rFonts w:hint="eastAsia" w:ascii="宋体" w:hAnsi="宋体"/>
        </w:rPr>
        <w:t>GB</w:t>
      </w:r>
      <w:r>
        <w:rPr>
          <w:rFonts w:ascii="宋体" w:hAnsi="宋体"/>
        </w:rPr>
        <w:t>/</w:t>
      </w:r>
      <w:r>
        <w:rPr>
          <w:rFonts w:hint="eastAsia" w:ascii="宋体" w:hAnsi="宋体"/>
        </w:rPr>
        <w:t>T50344-2004     建筑结构检测技术标准</w:t>
      </w:r>
    </w:p>
    <w:p>
      <w:pPr>
        <w:numPr>
          <w:ilvl w:val="0"/>
          <w:numId w:val="10"/>
        </w:numPr>
        <w:spacing w:line="276" w:lineRule="auto"/>
        <w:jc w:val="left"/>
        <w:rPr>
          <w:rFonts w:ascii="宋体" w:hAnsi="宋体"/>
        </w:rPr>
      </w:pPr>
      <w:r>
        <w:rPr>
          <w:rFonts w:hint="eastAsia" w:ascii="宋体" w:hAnsi="宋体"/>
        </w:rPr>
        <w:t>GB</w:t>
      </w:r>
      <w:r>
        <w:rPr>
          <w:rFonts w:ascii="宋体" w:hAnsi="宋体"/>
        </w:rPr>
        <w:t>/</w:t>
      </w:r>
      <w:r>
        <w:rPr>
          <w:rFonts w:hint="eastAsia" w:ascii="宋体" w:hAnsi="宋体"/>
        </w:rPr>
        <w:t>T50353－20</w:t>
      </w:r>
      <w:r>
        <w:rPr>
          <w:rFonts w:ascii="宋体" w:hAnsi="宋体"/>
        </w:rPr>
        <w:t>13</w:t>
      </w:r>
      <w:r>
        <w:rPr>
          <w:rFonts w:hint="eastAsia" w:ascii="宋体" w:hAnsi="宋体"/>
        </w:rPr>
        <w:t xml:space="preserve">    建筑工程建筑面积计算规范</w:t>
      </w:r>
    </w:p>
    <w:p>
      <w:pPr>
        <w:numPr>
          <w:ilvl w:val="0"/>
          <w:numId w:val="10"/>
        </w:numPr>
        <w:spacing w:line="276" w:lineRule="auto"/>
        <w:jc w:val="left"/>
        <w:rPr>
          <w:rFonts w:ascii="宋体" w:hAnsi="宋体"/>
        </w:rPr>
      </w:pPr>
      <w:r>
        <w:rPr>
          <w:rFonts w:hint="eastAsia" w:ascii="宋体" w:hAnsi="宋体"/>
        </w:rPr>
        <w:t>JGJ</w:t>
      </w:r>
      <w:r>
        <w:rPr>
          <w:rFonts w:ascii="宋体" w:hAnsi="宋体"/>
        </w:rPr>
        <w:t>/T</w:t>
      </w:r>
      <w:r>
        <w:rPr>
          <w:rFonts w:hint="eastAsia" w:ascii="宋体" w:hAnsi="宋体"/>
        </w:rPr>
        <w:t>110-20</w:t>
      </w:r>
      <w:r>
        <w:rPr>
          <w:rFonts w:ascii="宋体" w:hAnsi="宋体"/>
        </w:rPr>
        <w:t>17</w:t>
      </w:r>
      <w:r>
        <w:rPr>
          <w:rFonts w:hint="eastAsia" w:ascii="宋体" w:hAnsi="宋体"/>
        </w:rPr>
        <w:t xml:space="preserve">       建筑工程饰面砖粘结强度检验标准</w:t>
      </w:r>
    </w:p>
    <w:p>
      <w:pPr>
        <w:numPr>
          <w:ilvl w:val="0"/>
          <w:numId w:val="10"/>
        </w:numPr>
        <w:spacing w:line="276" w:lineRule="auto"/>
        <w:jc w:val="left"/>
        <w:rPr>
          <w:rFonts w:ascii="宋体" w:hAnsi="宋体"/>
        </w:rPr>
      </w:pPr>
      <w:r>
        <w:rPr>
          <w:rFonts w:hint="eastAsia" w:ascii="宋体" w:hAnsi="宋体"/>
        </w:rPr>
        <w:t>JGJ8-20</w:t>
      </w:r>
      <w:r>
        <w:rPr>
          <w:rFonts w:ascii="宋体" w:hAnsi="宋体"/>
        </w:rPr>
        <w:t>16</w:t>
      </w:r>
      <w:r>
        <w:rPr>
          <w:rFonts w:hint="eastAsia" w:ascii="宋体" w:hAnsi="宋体"/>
        </w:rPr>
        <w:t xml:space="preserve">         建筑变形测量规范</w:t>
      </w:r>
    </w:p>
    <w:p>
      <w:pPr>
        <w:numPr>
          <w:ilvl w:val="0"/>
          <w:numId w:val="10"/>
        </w:numPr>
        <w:spacing w:line="276" w:lineRule="auto"/>
        <w:jc w:val="left"/>
        <w:rPr>
          <w:rFonts w:ascii="宋体" w:hAnsi="宋体"/>
        </w:rPr>
      </w:pPr>
      <w:r>
        <w:rPr>
          <w:rFonts w:hint="eastAsia" w:ascii="宋体" w:hAnsi="宋体"/>
        </w:rPr>
        <w:t>JGJ</w:t>
      </w:r>
      <w:r>
        <w:rPr>
          <w:rFonts w:ascii="宋体" w:hAnsi="宋体"/>
        </w:rPr>
        <w:t>/</w:t>
      </w:r>
      <w:r>
        <w:rPr>
          <w:rFonts w:hint="eastAsia" w:ascii="宋体" w:hAnsi="宋体"/>
        </w:rPr>
        <w:t>T136-20</w:t>
      </w:r>
      <w:r>
        <w:rPr>
          <w:rFonts w:ascii="宋体" w:hAnsi="宋体"/>
        </w:rPr>
        <w:t>17</w:t>
      </w:r>
      <w:r>
        <w:rPr>
          <w:rFonts w:hint="eastAsia" w:ascii="宋体" w:hAnsi="宋体"/>
        </w:rPr>
        <w:t xml:space="preserve">      贯入法检测砌筑砂浆抗压强度技术规程</w:t>
      </w:r>
    </w:p>
    <w:p>
      <w:pPr>
        <w:numPr>
          <w:ilvl w:val="0"/>
          <w:numId w:val="10"/>
        </w:numPr>
        <w:spacing w:line="276" w:lineRule="auto"/>
        <w:jc w:val="left"/>
        <w:rPr>
          <w:rFonts w:ascii="宋体" w:hAnsi="宋体"/>
        </w:rPr>
      </w:pPr>
      <w:r>
        <w:rPr>
          <w:rFonts w:hint="eastAsia" w:ascii="宋体" w:hAnsi="宋体"/>
        </w:rPr>
        <w:t>JGJ/T152-20</w:t>
      </w:r>
      <w:r>
        <w:rPr>
          <w:rFonts w:ascii="宋体" w:hAnsi="宋体"/>
        </w:rPr>
        <w:t>19</w:t>
      </w:r>
      <w:r>
        <w:rPr>
          <w:rFonts w:hint="eastAsia" w:ascii="宋体" w:hAnsi="宋体"/>
        </w:rPr>
        <w:t xml:space="preserve">      混凝土中钢筋检测技术标准</w:t>
      </w:r>
    </w:p>
    <w:p>
      <w:pPr>
        <w:numPr>
          <w:ilvl w:val="0"/>
          <w:numId w:val="10"/>
        </w:numPr>
        <w:spacing w:line="276" w:lineRule="auto"/>
        <w:jc w:val="left"/>
        <w:rPr>
          <w:rFonts w:ascii="宋体" w:hAnsi="宋体"/>
        </w:rPr>
      </w:pPr>
      <w:r>
        <w:rPr>
          <w:rFonts w:hint="eastAsia" w:ascii="宋体" w:hAnsi="宋体"/>
        </w:rPr>
        <w:t>JGJ</w:t>
      </w:r>
      <w:r>
        <w:rPr>
          <w:rFonts w:ascii="宋体" w:hAnsi="宋体"/>
        </w:rPr>
        <w:t>/</w:t>
      </w:r>
      <w:r>
        <w:rPr>
          <w:rFonts w:hint="eastAsia" w:ascii="宋体" w:hAnsi="宋体"/>
        </w:rPr>
        <w:t>T23-2011       回弹法检测混凝土抗压强度技术规程</w:t>
      </w:r>
    </w:p>
    <w:p>
      <w:pPr>
        <w:numPr>
          <w:ilvl w:val="0"/>
          <w:numId w:val="10"/>
        </w:numPr>
        <w:spacing w:line="276" w:lineRule="auto"/>
        <w:jc w:val="left"/>
        <w:rPr>
          <w:rFonts w:ascii="宋体" w:hAnsi="宋体"/>
        </w:rPr>
      </w:pPr>
      <w:r>
        <w:rPr>
          <w:rFonts w:hint="eastAsia" w:ascii="宋体" w:hAnsi="宋体"/>
        </w:rPr>
        <w:t>GB/T50123-</w:t>
      </w:r>
      <w:r>
        <w:rPr>
          <w:rFonts w:ascii="宋体" w:hAnsi="宋体"/>
        </w:rPr>
        <w:t>2019</w:t>
      </w:r>
      <w:r>
        <w:rPr>
          <w:rFonts w:hint="eastAsia" w:ascii="宋体" w:hAnsi="宋体"/>
        </w:rPr>
        <w:t xml:space="preserve">    土工试验方法标准</w:t>
      </w:r>
    </w:p>
    <w:p>
      <w:pPr>
        <w:numPr>
          <w:ilvl w:val="0"/>
          <w:numId w:val="10"/>
        </w:numPr>
        <w:spacing w:line="276" w:lineRule="auto"/>
        <w:jc w:val="left"/>
        <w:rPr>
          <w:rFonts w:ascii="宋体" w:hAnsi="宋体"/>
        </w:rPr>
      </w:pPr>
      <w:r>
        <w:rPr>
          <w:rFonts w:hint="eastAsia" w:ascii="宋体" w:hAnsi="宋体"/>
        </w:rPr>
        <w:t>GB50618-2011      房屋建筑和市政基础设施工程质量检测技术管理规范</w:t>
      </w:r>
    </w:p>
    <w:p>
      <w:pPr>
        <w:numPr>
          <w:ilvl w:val="0"/>
          <w:numId w:val="10"/>
        </w:numPr>
        <w:spacing w:line="276" w:lineRule="auto"/>
        <w:jc w:val="left"/>
        <w:rPr>
          <w:rFonts w:ascii="宋体" w:hAnsi="宋体"/>
        </w:rPr>
      </w:pPr>
      <w:r>
        <w:rPr>
          <w:rFonts w:hint="eastAsia" w:ascii="宋体" w:hAnsi="宋体"/>
        </w:rPr>
        <w:t>GB/T50905-2014    建筑工程绿色施工规范</w:t>
      </w:r>
    </w:p>
    <w:p>
      <w:pPr>
        <w:numPr>
          <w:ilvl w:val="0"/>
          <w:numId w:val="10"/>
        </w:numPr>
        <w:spacing w:line="276" w:lineRule="auto"/>
        <w:jc w:val="left"/>
        <w:rPr>
          <w:rFonts w:ascii="宋体" w:hAnsi="宋体"/>
        </w:rPr>
      </w:pPr>
      <w:r>
        <w:rPr>
          <w:rFonts w:hint="eastAsia" w:ascii="宋体" w:hAnsi="宋体"/>
        </w:rPr>
        <w:t>JGJ/T177-2009     公共建筑节能检测标准</w:t>
      </w:r>
    </w:p>
    <w:p>
      <w:pPr>
        <w:numPr>
          <w:ilvl w:val="0"/>
          <w:numId w:val="10"/>
        </w:numPr>
        <w:spacing w:line="276" w:lineRule="auto"/>
        <w:jc w:val="left"/>
        <w:rPr>
          <w:rFonts w:ascii="宋体" w:hAnsi="宋体"/>
        </w:rPr>
      </w:pPr>
      <w:r>
        <w:rPr>
          <w:rFonts w:hint="eastAsia" w:ascii="宋体" w:hAnsi="宋体"/>
        </w:rPr>
        <w:t>JGJ190-2010       建筑工程检测试验技术管理规范</w:t>
      </w:r>
    </w:p>
    <w:p>
      <w:pPr>
        <w:spacing w:line="276" w:lineRule="auto"/>
        <w:ind w:firstLine="420" w:firstLineChars="200"/>
        <w:jc w:val="left"/>
        <w:rPr>
          <w:rFonts w:ascii="宋体" w:hAnsi="宋体"/>
        </w:rPr>
      </w:pPr>
      <w:r>
        <w:rPr>
          <w:rFonts w:hint="eastAsia" w:ascii="宋体" w:hAnsi="宋体"/>
        </w:rPr>
        <w:t xml:space="preserve">8.1.3.8  质量验收      </w:t>
      </w:r>
    </w:p>
    <w:p>
      <w:pPr>
        <w:numPr>
          <w:ilvl w:val="0"/>
          <w:numId w:val="11"/>
        </w:numPr>
        <w:spacing w:line="276" w:lineRule="auto"/>
        <w:jc w:val="left"/>
        <w:rPr>
          <w:rFonts w:ascii="宋体" w:hAnsi="宋体"/>
        </w:rPr>
      </w:pPr>
      <w:r>
        <w:rPr>
          <w:rFonts w:hint="eastAsia" w:ascii="宋体" w:hAnsi="宋体"/>
        </w:rPr>
        <w:t>GB50203-2011      砌体结构工程施工质量验收规范</w:t>
      </w:r>
    </w:p>
    <w:p>
      <w:pPr>
        <w:numPr>
          <w:ilvl w:val="0"/>
          <w:numId w:val="11"/>
        </w:numPr>
        <w:spacing w:line="276" w:lineRule="auto"/>
        <w:jc w:val="left"/>
        <w:rPr>
          <w:rFonts w:ascii="宋体" w:hAnsi="宋体"/>
        </w:rPr>
      </w:pPr>
      <w:r>
        <w:rPr>
          <w:rFonts w:hint="eastAsia" w:ascii="宋体" w:hAnsi="宋体"/>
        </w:rPr>
        <w:t>GB50204-20</w:t>
      </w:r>
      <w:r>
        <w:rPr>
          <w:rFonts w:ascii="宋体" w:hAnsi="宋体"/>
        </w:rPr>
        <w:t>15</w:t>
      </w:r>
      <w:r>
        <w:rPr>
          <w:rFonts w:hint="eastAsia" w:ascii="宋体" w:hAnsi="宋体"/>
        </w:rPr>
        <w:t xml:space="preserve">      混凝土结构工程施工质量验收规范</w:t>
      </w:r>
    </w:p>
    <w:p>
      <w:pPr>
        <w:numPr>
          <w:ilvl w:val="0"/>
          <w:numId w:val="11"/>
        </w:numPr>
        <w:spacing w:line="276" w:lineRule="auto"/>
        <w:jc w:val="left"/>
        <w:rPr>
          <w:rFonts w:ascii="宋体" w:hAnsi="宋体"/>
        </w:rPr>
      </w:pPr>
      <w:r>
        <w:rPr>
          <w:rFonts w:hint="eastAsia" w:ascii="宋体" w:hAnsi="宋体"/>
        </w:rPr>
        <w:t>GB50205-20</w:t>
      </w:r>
      <w:r>
        <w:rPr>
          <w:rFonts w:ascii="宋体" w:hAnsi="宋体"/>
        </w:rPr>
        <w:t>20</w:t>
      </w:r>
      <w:r>
        <w:rPr>
          <w:rFonts w:hint="eastAsia" w:ascii="宋体" w:hAnsi="宋体"/>
        </w:rPr>
        <w:t xml:space="preserve">      钢结构工程施工质量验收标准</w:t>
      </w:r>
    </w:p>
    <w:p>
      <w:pPr>
        <w:numPr>
          <w:ilvl w:val="0"/>
          <w:numId w:val="11"/>
        </w:numPr>
        <w:spacing w:line="276" w:lineRule="auto"/>
        <w:jc w:val="left"/>
        <w:rPr>
          <w:rFonts w:ascii="宋体" w:hAnsi="宋体"/>
        </w:rPr>
      </w:pPr>
      <w:r>
        <w:rPr>
          <w:rFonts w:hint="eastAsia" w:ascii="宋体" w:hAnsi="宋体"/>
        </w:rPr>
        <w:t>GB50207-2012      屋面工程质量验收规范</w:t>
      </w:r>
    </w:p>
    <w:p>
      <w:pPr>
        <w:numPr>
          <w:ilvl w:val="0"/>
          <w:numId w:val="11"/>
        </w:numPr>
        <w:spacing w:line="276" w:lineRule="auto"/>
        <w:jc w:val="left"/>
        <w:rPr>
          <w:rFonts w:ascii="宋体" w:hAnsi="宋体"/>
        </w:rPr>
      </w:pPr>
      <w:r>
        <w:rPr>
          <w:rFonts w:hint="eastAsia" w:ascii="宋体" w:hAnsi="宋体"/>
        </w:rPr>
        <w:t>GB50208-2011      地下防水工程质量验收规范</w:t>
      </w:r>
    </w:p>
    <w:p>
      <w:pPr>
        <w:numPr>
          <w:ilvl w:val="0"/>
          <w:numId w:val="11"/>
        </w:numPr>
        <w:spacing w:line="276" w:lineRule="auto"/>
        <w:jc w:val="left"/>
        <w:rPr>
          <w:rFonts w:ascii="宋体" w:hAnsi="宋体"/>
        </w:rPr>
      </w:pPr>
      <w:r>
        <w:rPr>
          <w:rFonts w:hint="eastAsia" w:ascii="宋体" w:hAnsi="宋体"/>
        </w:rPr>
        <w:t>GB50209-2010      建筑地面工程施工质量验收规范</w:t>
      </w:r>
    </w:p>
    <w:p>
      <w:pPr>
        <w:numPr>
          <w:ilvl w:val="0"/>
          <w:numId w:val="11"/>
        </w:numPr>
        <w:spacing w:line="276" w:lineRule="auto"/>
        <w:jc w:val="left"/>
        <w:rPr>
          <w:rFonts w:ascii="宋体" w:hAnsi="宋体"/>
        </w:rPr>
      </w:pPr>
      <w:r>
        <w:rPr>
          <w:rFonts w:hint="eastAsia" w:ascii="宋体" w:hAnsi="宋体"/>
        </w:rPr>
        <w:t>GB50210-2018      建筑装饰装修工程质量验收规范</w:t>
      </w:r>
    </w:p>
    <w:p>
      <w:pPr>
        <w:numPr>
          <w:ilvl w:val="0"/>
          <w:numId w:val="11"/>
        </w:numPr>
        <w:spacing w:line="276" w:lineRule="auto"/>
        <w:jc w:val="left"/>
        <w:rPr>
          <w:rFonts w:ascii="宋体" w:hAnsi="宋体"/>
        </w:rPr>
      </w:pPr>
      <w:r>
        <w:rPr>
          <w:rFonts w:hint="eastAsia" w:ascii="宋体" w:hAnsi="宋体"/>
        </w:rPr>
        <w:t>GB50242-2002      建筑给水排水及采暖工程施工质量验收规范</w:t>
      </w:r>
    </w:p>
    <w:p>
      <w:pPr>
        <w:numPr>
          <w:ilvl w:val="0"/>
          <w:numId w:val="11"/>
        </w:numPr>
        <w:spacing w:line="276" w:lineRule="auto"/>
        <w:jc w:val="left"/>
        <w:rPr>
          <w:rFonts w:ascii="宋体" w:hAnsi="宋体"/>
        </w:rPr>
      </w:pPr>
      <w:r>
        <w:rPr>
          <w:rFonts w:hint="eastAsia" w:ascii="宋体" w:hAnsi="宋体"/>
        </w:rPr>
        <w:t>GB50243-20</w:t>
      </w:r>
      <w:r>
        <w:rPr>
          <w:rFonts w:ascii="宋体" w:hAnsi="宋体"/>
        </w:rPr>
        <w:t>16</w:t>
      </w:r>
      <w:r>
        <w:rPr>
          <w:rFonts w:hint="eastAsia" w:ascii="宋体" w:hAnsi="宋体"/>
        </w:rPr>
        <w:t xml:space="preserve">      通风与空调工程施工质量验收规范</w:t>
      </w:r>
    </w:p>
    <w:p>
      <w:pPr>
        <w:numPr>
          <w:ilvl w:val="0"/>
          <w:numId w:val="11"/>
        </w:numPr>
        <w:spacing w:line="276" w:lineRule="auto"/>
        <w:jc w:val="left"/>
        <w:rPr>
          <w:rFonts w:ascii="宋体" w:hAnsi="宋体"/>
        </w:rPr>
      </w:pPr>
      <w:r>
        <w:rPr>
          <w:rFonts w:hint="eastAsia" w:ascii="宋体" w:hAnsi="宋体"/>
        </w:rPr>
        <w:t>GB50300-201</w:t>
      </w:r>
      <w:r>
        <w:rPr>
          <w:rFonts w:ascii="宋体" w:hAnsi="宋体"/>
        </w:rPr>
        <w:t>3</w:t>
      </w:r>
      <w:r>
        <w:rPr>
          <w:rFonts w:hint="eastAsia" w:ascii="宋体" w:hAnsi="宋体"/>
        </w:rPr>
        <w:t xml:space="preserve">      建筑工程施工质量验收统一标准</w:t>
      </w:r>
    </w:p>
    <w:p>
      <w:pPr>
        <w:numPr>
          <w:ilvl w:val="0"/>
          <w:numId w:val="11"/>
        </w:numPr>
        <w:spacing w:line="276" w:lineRule="auto"/>
        <w:jc w:val="left"/>
        <w:rPr>
          <w:rFonts w:ascii="宋体" w:hAnsi="宋体"/>
        </w:rPr>
      </w:pPr>
      <w:r>
        <w:rPr>
          <w:rFonts w:hint="eastAsia" w:ascii="宋体" w:hAnsi="宋体"/>
        </w:rPr>
        <w:t>GB50303-20</w:t>
      </w:r>
      <w:r>
        <w:rPr>
          <w:rFonts w:ascii="宋体" w:hAnsi="宋体"/>
        </w:rPr>
        <w:t>15</w:t>
      </w:r>
      <w:r>
        <w:rPr>
          <w:rFonts w:hint="eastAsia" w:ascii="宋体" w:hAnsi="宋体"/>
        </w:rPr>
        <w:t xml:space="preserve">      建筑电气工程施工质量验收规范</w:t>
      </w:r>
    </w:p>
    <w:p>
      <w:pPr>
        <w:numPr>
          <w:ilvl w:val="0"/>
          <w:numId w:val="11"/>
        </w:numPr>
        <w:spacing w:line="276" w:lineRule="auto"/>
        <w:jc w:val="left"/>
        <w:rPr>
          <w:rFonts w:ascii="宋体" w:hAnsi="宋体"/>
        </w:rPr>
      </w:pPr>
      <w:r>
        <w:rPr>
          <w:rFonts w:hint="eastAsia" w:ascii="宋体" w:hAnsi="宋体"/>
        </w:rPr>
        <w:t>GB50310-2002      电梯工程施工质量验收规范</w:t>
      </w:r>
    </w:p>
    <w:p>
      <w:pPr>
        <w:numPr>
          <w:ilvl w:val="0"/>
          <w:numId w:val="11"/>
        </w:numPr>
        <w:spacing w:line="276" w:lineRule="auto"/>
        <w:jc w:val="left"/>
        <w:rPr>
          <w:rFonts w:ascii="宋体" w:hAnsi="宋体"/>
        </w:rPr>
      </w:pPr>
      <w:r>
        <w:rPr>
          <w:rFonts w:hint="eastAsia" w:ascii="宋体" w:hAnsi="宋体"/>
        </w:rPr>
        <w:t>GB/</w:t>
      </w:r>
      <w:r>
        <w:rPr>
          <w:rFonts w:ascii="宋体" w:hAnsi="宋体"/>
        </w:rPr>
        <w:t>T</w:t>
      </w:r>
      <w:r>
        <w:rPr>
          <w:rFonts w:hint="eastAsia" w:ascii="宋体" w:hAnsi="宋体"/>
        </w:rPr>
        <w:t>50312-20</w:t>
      </w:r>
      <w:r>
        <w:rPr>
          <w:rFonts w:ascii="宋体" w:hAnsi="宋体"/>
        </w:rPr>
        <w:t>16</w:t>
      </w:r>
      <w:r>
        <w:rPr>
          <w:rFonts w:hint="eastAsia" w:ascii="宋体" w:hAnsi="宋体"/>
        </w:rPr>
        <w:t xml:space="preserve">    综合布线系统工程验收规范</w:t>
      </w:r>
    </w:p>
    <w:p>
      <w:pPr>
        <w:numPr>
          <w:ilvl w:val="0"/>
          <w:numId w:val="11"/>
        </w:numPr>
        <w:spacing w:line="276" w:lineRule="auto"/>
        <w:jc w:val="left"/>
        <w:rPr>
          <w:rFonts w:ascii="宋体" w:hAnsi="宋体"/>
        </w:rPr>
      </w:pPr>
      <w:r>
        <w:rPr>
          <w:rFonts w:hint="eastAsia" w:ascii="宋体" w:hAnsi="宋体"/>
        </w:rPr>
        <w:t>GB50339-20</w:t>
      </w:r>
      <w:r>
        <w:rPr>
          <w:rFonts w:ascii="宋体" w:hAnsi="宋体"/>
        </w:rPr>
        <w:t>13</w:t>
      </w:r>
      <w:r>
        <w:rPr>
          <w:rFonts w:hint="eastAsia" w:ascii="宋体" w:hAnsi="宋体"/>
        </w:rPr>
        <w:t xml:space="preserve">      智能建筑工程质量验收规范</w:t>
      </w:r>
    </w:p>
    <w:p>
      <w:pPr>
        <w:numPr>
          <w:ilvl w:val="0"/>
          <w:numId w:val="11"/>
        </w:numPr>
        <w:spacing w:line="276" w:lineRule="auto"/>
        <w:jc w:val="left"/>
        <w:rPr>
          <w:rFonts w:ascii="宋体" w:hAnsi="宋体"/>
        </w:rPr>
      </w:pPr>
      <w:r>
        <w:rPr>
          <w:rFonts w:hint="eastAsia" w:ascii="宋体" w:hAnsi="宋体"/>
        </w:rPr>
        <w:t>GB50411-20</w:t>
      </w:r>
      <w:r>
        <w:rPr>
          <w:rFonts w:ascii="宋体" w:hAnsi="宋体"/>
        </w:rPr>
        <w:t xml:space="preserve">19 </w:t>
      </w:r>
      <w:r>
        <w:rPr>
          <w:rFonts w:hint="eastAsia" w:ascii="宋体" w:hAnsi="宋体"/>
        </w:rPr>
        <w:t xml:space="preserve">     建筑节能工程施工质量验收标准</w:t>
      </w:r>
    </w:p>
    <w:p>
      <w:pPr>
        <w:numPr>
          <w:ilvl w:val="0"/>
          <w:numId w:val="11"/>
        </w:numPr>
        <w:spacing w:line="276" w:lineRule="auto"/>
        <w:jc w:val="left"/>
        <w:rPr>
          <w:rFonts w:ascii="宋体" w:hAnsi="宋体"/>
        </w:rPr>
      </w:pPr>
      <w:r>
        <w:rPr>
          <w:rFonts w:hint="eastAsia" w:ascii="宋体" w:hAnsi="宋体"/>
        </w:rPr>
        <w:t>GB/T50375-20</w:t>
      </w:r>
      <w:r>
        <w:rPr>
          <w:rFonts w:ascii="宋体" w:hAnsi="宋体"/>
        </w:rPr>
        <w:t>16</w:t>
      </w:r>
      <w:r>
        <w:rPr>
          <w:rFonts w:hint="eastAsia" w:ascii="宋体" w:hAnsi="宋体"/>
        </w:rPr>
        <w:t xml:space="preserve">    建筑工程施工质量评价标准</w:t>
      </w:r>
    </w:p>
    <w:p>
      <w:pPr>
        <w:numPr>
          <w:ilvl w:val="0"/>
          <w:numId w:val="11"/>
        </w:numPr>
        <w:spacing w:line="276" w:lineRule="auto"/>
        <w:jc w:val="left"/>
        <w:rPr>
          <w:rFonts w:ascii="宋体" w:hAnsi="宋体"/>
        </w:rPr>
      </w:pPr>
      <w:r>
        <w:rPr>
          <w:rFonts w:hint="eastAsia" w:ascii="宋体" w:hAnsi="宋体"/>
        </w:rPr>
        <w:t>JGJ</w:t>
      </w:r>
      <w:r>
        <w:rPr>
          <w:rFonts w:ascii="宋体" w:hAnsi="宋体"/>
        </w:rPr>
        <w:t>/</w:t>
      </w:r>
      <w:r>
        <w:rPr>
          <w:rFonts w:hint="eastAsia" w:ascii="宋体" w:hAnsi="宋体"/>
        </w:rPr>
        <w:t>T139-20</w:t>
      </w:r>
      <w:r>
        <w:rPr>
          <w:rFonts w:ascii="宋体" w:hAnsi="宋体"/>
        </w:rPr>
        <w:t>20</w:t>
      </w:r>
      <w:r>
        <w:rPr>
          <w:rFonts w:hint="eastAsia" w:ascii="宋体" w:hAnsi="宋体"/>
        </w:rPr>
        <w:t xml:space="preserve">     玻璃幕墙工程质量检验标准</w:t>
      </w:r>
    </w:p>
    <w:p>
      <w:pPr>
        <w:numPr>
          <w:ilvl w:val="0"/>
          <w:numId w:val="11"/>
        </w:numPr>
        <w:spacing w:line="276" w:lineRule="auto"/>
        <w:jc w:val="left"/>
        <w:rPr>
          <w:rFonts w:ascii="宋体" w:hAnsi="宋体"/>
        </w:rPr>
      </w:pPr>
      <w:r>
        <w:rPr>
          <w:rFonts w:hint="eastAsia" w:ascii="宋体" w:hAnsi="宋体"/>
        </w:rPr>
        <w:t>GB</w:t>
      </w:r>
      <w:r>
        <w:rPr>
          <w:rFonts w:ascii="宋体" w:hAnsi="宋体"/>
        </w:rPr>
        <w:t>/T</w:t>
      </w:r>
      <w:r>
        <w:rPr>
          <w:rFonts w:hint="eastAsia" w:ascii="宋体" w:hAnsi="宋体"/>
        </w:rPr>
        <w:t>50668-2011    节能建筑评价标准</w:t>
      </w:r>
    </w:p>
    <w:p>
      <w:pPr>
        <w:numPr>
          <w:ilvl w:val="0"/>
          <w:numId w:val="11"/>
        </w:numPr>
        <w:spacing w:line="276" w:lineRule="auto"/>
        <w:jc w:val="left"/>
        <w:rPr>
          <w:rFonts w:ascii="宋体" w:hAnsi="宋体"/>
        </w:rPr>
      </w:pPr>
      <w:r>
        <w:rPr>
          <w:rFonts w:ascii="宋体" w:hAnsi="宋体"/>
        </w:rPr>
        <w:t xml:space="preserve">T/CSPSTC20-2019   </w:t>
      </w:r>
      <w:r>
        <w:rPr>
          <w:rFonts w:hint="eastAsia" w:ascii="宋体" w:hAnsi="宋体"/>
        </w:rPr>
        <w:t>建筑信息模型（BIM）工程应用评价导则</w:t>
      </w:r>
    </w:p>
    <w:p>
      <w:pPr>
        <w:numPr>
          <w:ilvl w:val="0"/>
          <w:numId w:val="11"/>
        </w:numPr>
        <w:spacing w:line="276" w:lineRule="auto"/>
        <w:jc w:val="left"/>
        <w:rPr>
          <w:rFonts w:ascii="宋体" w:hAnsi="宋体"/>
        </w:rPr>
      </w:pPr>
      <w:r>
        <w:rPr>
          <w:rFonts w:ascii="宋体" w:hAnsi="宋体"/>
        </w:rPr>
        <w:t xml:space="preserve">GB/T50378-2019    </w:t>
      </w:r>
      <w:r>
        <w:rPr>
          <w:rFonts w:hint="eastAsia" w:ascii="宋体" w:hAnsi="宋体"/>
        </w:rPr>
        <w:t>绿色建筑评价标准</w:t>
      </w:r>
      <w:r>
        <w:rPr>
          <w:rFonts w:ascii="宋体" w:hAnsi="宋体"/>
        </w:rPr>
        <w:t xml:space="preserve"> </w:t>
      </w:r>
    </w:p>
    <w:p>
      <w:pPr>
        <w:numPr>
          <w:ilvl w:val="0"/>
          <w:numId w:val="11"/>
        </w:numPr>
        <w:spacing w:line="276" w:lineRule="auto"/>
        <w:jc w:val="left"/>
        <w:rPr>
          <w:rFonts w:ascii="宋体" w:hAnsi="宋体"/>
        </w:rPr>
      </w:pPr>
      <w:r>
        <w:rPr>
          <w:rFonts w:ascii="宋体" w:hAnsi="宋体"/>
        </w:rPr>
        <w:t xml:space="preserve">DG/TJ08-2246-2017 </w:t>
      </w:r>
      <w:r>
        <w:rPr>
          <w:rFonts w:hint="eastAsia" w:ascii="宋体" w:hAnsi="宋体"/>
        </w:rPr>
        <w:t>绿色建筑工程验收标准</w:t>
      </w:r>
    </w:p>
    <w:p>
      <w:pPr>
        <w:numPr>
          <w:ilvl w:val="0"/>
          <w:numId w:val="11"/>
        </w:numPr>
        <w:spacing w:line="276" w:lineRule="auto"/>
        <w:jc w:val="left"/>
        <w:rPr>
          <w:rFonts w:ascii="宋体" w:hAnsi="宋体"/>
        </w:rPr>
      </w:pPr>
      <w:r>
        <w:rPr>
          <w:rFonts w:ascii="宋体" w:hAnsi="宋体"/>
        </w:rPr>
        <w:t xml:space="preserve">T/ASC02-2021       </w:t>
      </w:r>
      <w:r>
        <w:rPr>
          <w:rFonts w:hint="eastAsia" w:ascii="宋体" w:hAnsi="宋体"/>
        </w:rPr>
        <w:t>健康建筑评价标准</w:t>
      </w:r>
    </w:p>
    <w:p>
      <w:pPr>
        <w:numPr>
          <w:ilvl w:val="0"/>
          <w:numId w:val="11"/>
        </w:numPr>
        <w:spacing w:line="276" w:lineRule="auto"/>
        <w:jc w:val="left"/>
        <w:rPr>
          <w:rFonts w:ascii="宋体" w:hAnsi="宋体"/>
        </w:rPr>
      </w:pPr>
      <w:r>
        <w:rPr>
          <w:rFonts w:ascii="宋体" w:hAnsi="宋体"/>
        </w:rPr>
        <w:t xml:space="preserve">GB/T51345-2018     </w:t>
      </w:r>
      <w:r>
        <w:rPr>
          <w:rFonts w:hint="eastAsia" w:ascii="宋体" w:hAnsi="宋体"/>
        </w:rPr>
        <w:t>海绵城市建设评价标准</w:t>
      </w:r>
    </w:p>
    <w:p>
      <w:pPr>
        <w:numPr>
          <w:ilvl w:val="0"/>
          <w:numId w:val="11"/>
        </w:numPr>
        <w:spacing w:line="276" w:lineRule="auto"/>
        <w:jc w:val="left"/>
        <w:rPr>
          <w:rFonts w:ascii="宋体" w:hAnsi="宋体"/>
        </w:rPr>
      </w:pPr>
      <w:r>
        <w:rPr>
          <w:rFonts w:ascii="宋体" w:hAnsi="宋体"/>
        </w:rPr>
        <w:t xml:space="preserve">T/CCIAT0014-2019   </w:t>
      </w:r>
      <w:r>
        <w:rPr>
          <w:rFonts w:hint="eastAsia" w:ascii="宋体" w:hAnsi="宋体"/>
        </w:rPr>
        <w:t>海绵城市基础设施施工与质量验收标准</w:t>
      </w:r>
    </w:p>
    <w:p>
      <w:pPr>
        <w:spacing w:line="276" w:lineRule="auto"/>
        <w:ind w:firstLine="420" w:firstLineChars="200"/>
        <w:jc w:val="left"/>
        <w:rPr>
          <w:rFonts w:ascii="宋体" w:hAnsi="宋体"/>
        </w:rPr>
      </w:pPr>
      <w:r>
        <w:rPr>
          <w:rFonts w:hint="eastAsia" w:ascii="宋体" w:hAnsi="宋体"/>
        </w:rPr>
        <w:t xml:space="preserve">8.1.3.9  安全卫生      </w:t>
      </w:r>
    </w:p>
    <w:p>
      <w:pPr>
        <w:numPr>
          <w:ilvl w:val="0"/>
          <w:numId w:val="12"/>
        </w:numPr>
        <w:spacing w:line="276" w:lineRule="auto"/>
        <w:jc w:val="left"/>
        <w:rPr>
          <w:rFonts w:ascii="宋体" w:hAnsi="宋体"/>
        </w:rPr>
      </w:pPr>
      <w:r>
        <w:rPr>
          <w:rFonts w:hint="eastAsia" w:ascii="宋体" w:hAnsi="宋体"/>
        </w:rPr>
        <w:t>GB50194-</w:t>
      </w:r>
      <w:r>
        <w:rPr>
          <w:rFonts w:ascii="宋体" w:hAnsi="宋体"/>
        </w:rPr>
        <w:t>2014</w:t>
      </w:r>
      <w:r>
        <w:rPr>
          <w:rFonts w:hint="eastAsia" w:ascii="宋体" w:hAnsi="宋体"/>
        </w:rPr>
        <w:t xml:space="preserve">     建设工程施工现场供用电安全规范</w:t>
      </w:r>
    </w:p>
    <w:p>
      <w:pPr>
        <w:numPr>
          <w:ilvl w:val="0"/>
          <w:numId w:val="12"/>
        </w:numPr>
        <w:spacing w:line="276" w:lineRule="auto"/>
        <w:jc w:val="left"/>
        <w:rPr>
          <w:rFonts w:ascii="宋体" w:hAnsi="宋体"/>
        </w:rPr>
      </w:pPr>
      <w:r>
        <w:rPr>
          <w:rFonts w:hint="eastAsia" w:ascii="宋体" w:hAnsi="宋体"/>
        </w:rPr>
        <w:t>JGJ</w:t>
      </w:r>
      <w:r>
        <w:rPr>
          <w:rFonts w:ascii="宋体" w:hAnsi="宋体"/>
        </w:rPr>
        <w:t>/T</w:t>
      </w:r>
      <w:r>
        <w:rPr>
          <w:rFonts w:hint="eastAsia" w:ascii="宋体" w:hAnsi="宋体"/>
        </w:rPr>
        <w:t>128-201</w:t>
      </w:r>
      <w:r>
        <w:rPr>
          <w:rFonts w:ascii="宋体" w:hAnsi="宋体"/>
        </w:rPr>
        <w:t>9</w:t>
      </w:r>
      <w:r>
        <w:rPr>
          <w:rFonts w:hint="eastAsia" w:ascii="宋体" w:hAnsi="宋体"/>
        </w:rPr>
        <w:t xml:space="preserve">    建筑施工门式钢管脚手架安全技术标准</w:t>
      </w:r>
    </w:p>
    <w:p>
      <w:pPr>
        <w:numPr>
          <w:ilvl w:val="0"/>
          <w:numId w:val="12"/>
        </w:numPr>
        <w:spacing w:line="276" w:lineRule="auto"/>
        <w:jc w:val="left"/>
        <w:rPr>
          <w:rFonts w:ascii="宋体" w:hAnsi="宋体"/>
        </w:rPr>
      </w:pPr>
      <w:r>
        <w:rPr>
          <w:rFonts w:hint="eastAsia" w:ascii="宋体" w:hAnsi="宋体"/>
        </w:rPr>
        <w:t>JGJ130-2011      建筑施工扣件式钢管脚手架安全技术规范</w:t>
      </w:r>
    </w:p>
    <w:p>
      <w:pPr>
        <w:numPr>
          <w:ilvl w:val="0"/>
          <w:numId w:val="12"/>
        </w:numPr>
        <w:spacing w:line="276" w:lineRule="auto"/>
        <w:jc w:val="left"/>
        <w:rPr>
          <w:rFonts w:ascii="宋体" w:hAnsi="宋体"/>
        </w:rPr>
      </w:pPr>
      <w:r>
        <w:rPr>
          <w:rFonts w:hint="eastAsia" w:ascii="宋体" w:hAnsi="宋体"/>
        </w:rPr>
        <w:t>JGJ146-20</w:t>
      </w:r>
      <w:r>
        <w:rPr>
          <w:rFonts w:ascii="宋体" w:hAnsi="宋体"/>
        </w:rPr>
        <w:t>13</w:t>
      </w:r>
      <w:r>
        <w:rPr>
          <w:rFonts w:hint="eastAsia" w:ascii="宋体" w:hAnsi="宋体"/>
        </w:rPr>
        <w:t xml:space="preserve">     </w:t>
      </w:r>
      <w:r>
        <w:rPr>
          <w:rFonts w:ascii="宋体" w:hAnsi="宋体"/>
        </w:rPr>
        <w:t xml:space="preserve"> </w:t>
      </w:r>
      <w:r>
        <w:rPr>
          <w:rFonts w:hint="eastAsia" w:ascii="宋体" w:hAnsi="宋体"/>
        </w:rPr>
        <w:t>建设工程施工现场环境与卫生标准</w:t>
      </w:r>
    </w:p>
    <w:p>
      <w:pPr>
        <w:numPr>
          <w:ilvl w:val="0"/>
          <w:numId w:val="12"/>
        </w:numPr>
        <w:spacing w:line="276" w:lineRule="auto"/>
        <w:jc w:val="left"/>
        <w:rPr>
          <w:rFonts w:ascii="宋体" w:hAnsi="宋体"/>
        </w:rPr>
      </w:pPr>
      <w:r>
        <w:rPr>
          <w:rFonts w:hint="eastAsia" w:ascii="宋体" w:hAnsi="宋体"/>
        </w:rPr>
        <w:t>JGJ147-20</w:t>
      </w:r>
      <w:r>
        <w:rPr>
          <w:rFonts w:ascii="宋体" w:hAnsi="宋体"/>
        </w:rPr>
        <w:t>16</w:t>
      </w:r>
      <w:r>
        <w:rPr>
          <w:rFonts w:hint="eastAsia" w:ascii="宋体" w:hAnsi="宋体"/>
        </w:rPr>
        <w:t xml:space="preserve">      建筑拆除工程安全技术规范</w:t>
      </w:r>
    </w:p>
    <w:p>
      <w:pPr>
        <w:numPr>
          <w:ilvl w:val="0"/>
          <w:numId w:val="12"/>
        </w:numPr>
        <w:spacing w:line="276" w:lineRule="auto"/>
        <w:jc w:val="left"/>
        <w:rPr>
          <w:rFonts w:ascii="宋体" w:hAnsi="宋体"/>
        </w:rPr>
      </w:pPr>
      <w:r>
        <w:rPr>
          <w:rFonts w:hint="eastAsia" w:ascii="宋体" w:hAnsi="宋体"/>
        </w:rPr>
        <w:t>JGJ160-20</w:t>
      </w:r>
      <w:r>
        <w:rPr>
          <w:rFonts w:ascii="宋体" w:hAnsi="宋体"/>
        </w:rPr>
        <w:t>16</w:t>
      </w:r>
      <w:r>
        <w:rPr>
          <w:rFonts w:hint="eastAsia" w:ascii="宋体" w:hAnsi="宋体"/>
        </w:rPr>
        <w:t xml:space="preserve">      施工现场机械设备检查技术规范</w:t>
      </w:r>
    </w:p>
    <w:p>
      <w:pPr>
        <w:numPr>
          <w:ilvl w:val="0"/>
          <w:numId w:val="12"/>
        </w:numPr>
        <w:spacing w:line="276" w:lineRule="auto"/>
        <w:jc w:val="left"/>
        <w:rPr>
          <w:rFonts w:ascii="宋体" w:hAnsi="宋体"/>
        </w:rPr>
      </w:pPr>
      <w:r>
        <w:rPr>
          <w:rFonts w:hint="eastAsia" w:ascii="宋体" w:hAnsi="宋体"/>
        </w:rPr>
        <w:t>JGJ162-2008      建筑施工模板安全技术规范</w:t>
      </w:r>
    </w:p>
    <w:p>
      <w:pPr>
        <w:numPr>
          <w:ilvl w:val="0"/>
          <w:numId w:val="12"/>
        </w:numPr>
        <w:spacing w:line="276" w:lineRule="auto"/>
        <w:jc w:val="left"/>
        <w:rPr>
          <w:rFonts w:ascii="宋体" w:hAnsi="宋体"/>
        </w:rPr>
      </w:pPr>
      <w:r>
        <w:rPr>
          <w:rFonts w:hint="eastAsia" w:ascii="宋体" w:hAnsi="宋体"/>
        </w:rPr>
        <w:t>JGJ166-20</w:t>
      </w:r>
      <w:r>
        <w:rPr>
          <w:rFonts w:ascii="宋体" w:hAnsi="宋体"/>
        </w:rPr>
        <w:t>16</w:t>
      </w:r>
      <w:r>
        <w:rPr>
          <w:rFonts w:hint="eastAsia" w:ascii="宋体" w:hAnsi="宋体"/>
        </w:rPr>
        <w:t xml:space="preserve">      建筑施工碗扣式钢管脚手架安全技术规范</w:t>
      </w:r>
    </w:p>
    <w:p>
      <w:pPr>
        <w:numPr>
          <w:ilvl w:val="0"/>
          <w:numId w:val="12"/>
        </w:numPr>
        <w:spacing w:line="276" w:lineRule="auto"/>
        <w:jc w:val="left"/>
        <w:rPr>
          <w:rFonts w:ascii="宋体" w:hAnsi="宋体"/>
        </w:rPr>
      </w:pPr>
      <w:r>
        <w:rPr>
          <w:rFonts w:hint="eastAsia" w:ascii="宋体" w:hAnsi="宋体"/>
        </w:rPr>
        <w:t>JGJ180-2009      建筑施工土石方工程安全技术规范</w:t>
      </w:r>
    </w:p>
    <w:p>
      <w:pPr>
        <w:numPr>
          <w:ilvl w:val="0"/>
          <w:numId w:val="12"/>
        </w:numPr>
        <w:spacing w:line="276" w:lineRule="auto"/>
        <w:jc w:val="left"/>
        <w:rPr>
          <w:rFonts w:ascii="宋体" w:hAnsi="宋体"/>
        </w:rPr>
      </w:pPr>
      <w:r>
        <w:rPr>
          <w:rFonts w:hint="eastAsia" w:ascii="宋体" w:hAnsi="宋体"/>
        </w:rPr>
        <w:t>JGJ33-2012       建筑机械使用安全技术规程</w:t>
      </w:r>
    </w:p>
    <w:p>
      <w:pPr>
        <w:numPr>
          <w:ilvl w:val="0"/>
          <w:numId w:val="12"/>
        </w:numPr>
        <w:spacing w:line="276" w:lineRule="auto"/>
        <w:jc w:val="left"/>
        <w:rPr>
          <w:rFonts w:ascii="宋体" w:hAnsi="宋体"/>
        </w:rPr>
      </w:pPr>
      <w:r>
        <w:rPr>
          <w:rFonts w:hint="eastAsia" w:ascii="宋体" w:hAnsi="宋体"/>
        </w:rPr>
        <w:t>JGJ46-20</w:t>
      </w:r>
      <w:r>
        <w:rPr>
          <w:rFonts w:ascii="宋体" w:hAnsi="宋体"/>
        </w:rPr>
        <w:t>05</w:t>
      </w:r>
      <w:r>
        <w:rPr>
          <w:rFonts w:hint="eastAsia" w:ascii="宋体" w:hAnsi="宋体"/>
        </w:rPr>
        <w:t xml:space="preserve">       施工现场临时用电安全技术规范</w:t>
      </w:r>
    </w:p>
    <w:p>
      <w:pPr>
        <w:numPr>
          <w:ilvl w:val="0"/>
          <w:numId w:val="12"/>
        </w:numPr>
        <w:spacing w:line="276" w:lineRule="auto"/>
        <w:jc w:val="left"/>
        <w:rPr>
          <w:rFonts w:ascii="宋体" w:hAnsi="宋体"/>
        </w:rPr>
      </w:pPr>
      <w:r>
        <w:rPr>
          <w:rFonts w:hint="eastAsia" w:ascii="宋体" w:hAnsi="宋体"/>
        </w:rPr>
        <w:t>JGJ59-2011       建筑施工安全检查标准</w:t>
      </w:r>
    </w:p>
    <w:p>
      <w:pPr>
        <w:numPr>
          <w:ilvl w:val="0"/>
          <w:numId w:val="12"/>
        </w:numPr>
        <w:spacing w:line="276" w:lineRule="auto"/>
        <w:jc w:val="left"/>
        <w:rPr>
          <w:rFonts w:ascii="宋体" w:hAnsi="宋体"/>
        </w:rPr>
      </w:pPr>
      <w:r>
        <w:rPr>
          <w:rFonts w:hint="eastAsia" w:ascii="宋体" w:hAnsi="宋体"/>
        </w:rPr>
        <w:t>JGJ80-</w:t>
      </w:r>
      <w:r>
        <w:rPr>
          <w:rFonts w:ascii="宋体" w:hAnsi="宋体"/>
        </w:rPr>
        <w:t>2016</w:t>
      </w:r>
      <w:r>
        <w:rPr>
          <w:rFonts w:hint="eastAsia" w:ascii="宋体" w:hAnsi="宋体"/>
        </w:rPr>
        <w:t xml:space="preserve">       建筑施工高处作业安全技术规范</w:t>
      </w:r>
    </w:p>
    <w:p>
      <w:pPr>
        <w:numPr>
          <w:ilvl w:val="0"/>
          <w:numId w:val="12"/>
        </w:numPr>
        <w:spacing w:line="276" w:lineRule="auto"/>
        <w:jc w:val="left"/>
        <w:rPr>
          <w:rFonts w:ascii="宋体" w:hAnsi="宋体"/>
        </w:rPr>
      </w:pPr>
      <w:r>
        <w:rPr>
          <w:rFonts w:hint="eastAsia" w:ascii="宋体" w:hAnsi="宋体"/>
        </w:rPr>
        <w:t>JGJ</w:t>
      </w:r>
      <w:r>
        <w:rPr>
          <w:rFonts w:ascii="宋体" w:hAnsi="宋体"/>
        </w:rPr>
        <w:t>/</w:t>
      </w:r>
      <w:r>
        <w:rPr>
          <w:rFonts w:hint="eastAsia" w:ascii="宋体" w:hAnsi="宋体"/>
        </w:rPr>
        <w:t>77-2010      施工企业安全生产评价标准</w:t>
      </w:r>
    </w:p>
    <w:p>
      <w:pPr>
        <w:numPr>
          <w:ilvl w:val="0"/>
          <w:numId w:val="12"/>
        </w:numPr>
        <w:spacing w:line="276" w:lineRule="auto"/>
        <w:jc w:val="left"/>
        <w:rPr>
          <w:rFonts w:ascii="宋体" w:hAnsi="宋体"/>
        </w:rPr>
      </w:pPr>
      <w:r>
        <w:rPr>
          <w:rFonts w:hint="eastAsia" w:ascii="宋体" w:hAnsi="宋体"/>
        </w:rPr>
        <w:t>GB50720-2011     建设工程施工现场消防安全技术规范</w:t>
      </w:r>
    </w:p>
    <w:p>
      <w:pPr>
        <w:numPr>
          <w:ilvl w:val="0"/>
          <w:numId w:val="12"/>
        </w:numPr>
        <w:spacing w:line="276" w:lineRule="auto"/>
        <w:jc w:val="left"/>
        <w:rPr>
          <w:rFonts w:ascii="宋体" w:hAnsi="宋体"/>
        </w:rPr>
      </w:pPr>
      <w:r>
        <w:rPr>
          <w:rFonts w:hint="eastAsia" w:ascii="宋体" w:hAnsi="宋体"/>
        </w:rPr>
        <w:t>JGJ88-2010       龙门架及井架物料提升机安全技术规范</w:t>
      </w:r>
    </w:p>
    <w:p>
      <w:pPr>
        <w:numPr>
          <w:ilvl w:val="0"/>
          <w:numId w:val="12"/>
        </w:numPr>
        <w:spacing w:line="276" w:lineRule="auto"/>
        <w:jc w:val="left"/>
        <w:rPr>
          <w:rFonts w:ascii="宋体" w:hAnsi="宋体"/>
        </w:rPr>
      </w:pPr>
      <w:r>
        <w:rPr>
          <w:rFonts w:hint="eastAsia" w:ascii="宋体" w:hAnsi="宋体"/>
        </w:rPr>
        <w:t>JGJ196-2010      建筑施工塔式起重机安装、使用、拆卸安全技术规程</w:t>
      </w:r>
    </w:p>
    <w:p>
      <w:pPr>
        <w:numPr>
          <w:ilvl w:val="0"/>
          <w:numId w:val="12"/>
        </w:numPr>
        <w:spacing w:line="276" w:lineRule="auto"/>
        <w:jc w:val="left"/>
        <w:rPr>
          <w:rFonts w:ascii="宋体" w:hAnsi="宋体"/>
        </w:rPr>
      </w:pPr>
      <w:r>
        <w:rPr>
          <w:rFonts w:hint="eastAsia" w:ascii="宋体" w:hAnsi="宋体"/>
        </w:rPr>
        <w:t>JGJ184-2009      建筑施工作业劳动防护用品配备及使用标准</w:t>
      </w:r>
    </w:p>
    <w:p>
      <w:pPr>
        <w:numPr>
          <w:ilvl w:val="0"/>
          <w:numId w:val="12"/>
        </w:numPr>
        <w:spacing w:line="276" w:lineRule="auto"/>
        <w:jc w:val="left"/>
        <w:rPr>
          <w:rFonts w:ascii="宋体" w:hAnsi="宋体"/>
        </w:rPr>
      </w:pPr>
      <w:r>
        <w:rPr>
          <w:rFonts w:hint="eastAsia" w:ascii="宋体" w:hAnsi="宋体"/>
        </w:rPr>
        <w:t>JGJ/T188-2009    施工现场临时建筑物技术规范</w:t>
      </w:r>
    </w:p>
    <w:p>
      <w:pPr>
        <w:numPr>
          <w:ilvl w:val="0"/>
          <w:numId w:val="12"/>
        </w:numPr>
        <w:spacing w:line="276" w:lineRule="auto"/>
        <w:jc w:val="left"/>
        <w:rPr>
          <w:rFonts w:ascii="宋体" w:hAnsi="宋体"/>
        </w:rPr>
      </w:pPr>
      <w:r>
        <w:rPr>
          <w:rFonts w:hint="eastAsia" w:ascii="宋体" w:hAnsi="宋体"/>
        </w:rPr>
        <w:t>JGJ/T189-2009    建筑起重机械安全评估技术规程</w:t>
      </w:r>
    </w:p>
    <w:p>
      <w:pPr>
        <w:numPr>
          <w:ilvl w:val="0"/>
          <w:numId w:val="12"/>
        </w:numPr>
        <w:spacing w:line="276" w:lineRule="auto"/>
        <w:jc w:val="left"/>
        <w:rPr>
          <w:rFonts w:ascii="宋体" w:hAnsi="宋体"/>
        </w:rPr>
      </w:pPr>
      <w:r>
        <w:rPr>
          <w:rFonts w:hint="eastAsia" w:ascii="宋体" w:hAnsi="宋体"/>
        </w:rPr>
        <w:t>JGJ196-2010      建筑施工塔式起重机安装、使用、拆卸安全技术规程</w:t>
      </w:r>
    </w:p>
    <w:p>
      <w:pPr>
        <w:numPr>
          <w:ilvl w:val="0"/>
          <w:numId w:val="12"/>
        </w:numPr>
        <w:spacing w:line="276" w:lineRule="auto"/>
        <w:jc w:val="left"/>
        <w:rPr>
          <w:rFonts w:ascii="宋体" w:hAnsi="宋体"/>
        </w:rPr>
      </w:pPr>
      <w:r>
        <w:rPr>
          <w:rFonts w:hint="eastAsia" w:ascii="宋体" w:hAnsi="宋体"/>
        </w:rPr>
        <w:t>JGJ215-2010      建筑施工升降机安装、使用、拆卸安全技术规程</w:t>
      </w:r>
    </w:p>
    <w:p>
      <w:pPr>
        <w:numPr>
          <w:ilvl w:val="0"/>
          <w:numId w:val="12"/>
        </w:numPr>
        <w:spacing w:line="276" w:lineRule="auto"/>
        <w:jc w:val="left"/>
        <w:rPr>
          <w:rFonts w:ascii="宋体" w:hAnsi="宋体"/>
        </w:rPr>
      </w:pPr>
      <w:r>
        <w:rPr>
          <w:rFonts w:hint="eastAsia" w:ascii="宋体" w:hAnsi="宋体"/>
        </w:rPr>
        <w:t>JGJ276-2012      建筑施工起重吊装工程安全技术规范</w:t>
      </w:r>
    </w:p>
    <w:p>
      <w:pPr>
        <w:numPr>
          <w:ilvl w:val="0"/>
          <w:numId w:val="12"/>
        </w:numPr>
        <w:spacing w:line="276" w:lineRule="auto"/>
        <w:jc w:val="left"/>
        <w:rPr>
          <w:rFonts w:ascii="宋体" w:hAnsi="宋体"/>
        </w:rPr>
      </w:pPr>
      <w:r>
        <w:rPr>
          <w:rFonts w:hint="eastAsia" w:ascii="宋体" w:hAnsi="宋体"/>
        </w:rPr>
        <w:t>JGJ/T292-2012    建筑工程施工现场视频监控技术规范</w:t>
      </w:r>
    </w:p>
    <w:p>
      <w:pPr>
        <w:numPr>
          <w:ilvl w:val="0"/>
          <w:numId w:val="12"/>
        </w:numPr>
        <w:spacing w:line="276" w:lineRule="auto"/>
        <w:jc w:val="left"/>
        <w:rPr>
          <w:rFonts w:ascii="宋体" w:hAnsi="宋体"/>
        </w:rPr>
      </w:pPr>
      <w:r>
        <w:rPr>
          <w:rFonts w:hint="eastAsia" w:ascii="宋体" w:hAnsi="宋体"/>
        </w:rPr>
        <w:t>GB50870-2013     建筑施工安全技术统一规范</w:t>
      </w:r>
    </w:p>
    <w:p>
      <w:pPr>
        <w:spacing w:line="276" w:lineRule="auto"/>
        <w:ind w:firstLine="420" w:firstLineChars="200"/>
        <w:jc w:val="left"/>
        <w:rPr>
          <w:rFonts w:ascii="宋体" w:hAnsi="宋体"/>
        </w:rPr>
      </w:pPr>
      <w:r>
        <w:rPr>
          <w:rFonts w:hint="eastAsia" w:ascii="宋体" w:hAnsi="宋体"/>
        </w:rPr>
        <w:t xml:space="preserve">8.1.3.10  施工组织与管理      </w:t>
      </w:r>
    </w:p>
    <w:p>
      <w:pPr>
        <w:numPr>
          <w:ilvl w:val="0"/>
          <w:numId w:val="13"/>
        </w:numPr>
        <w:spacing w:line="276" w:lineRule="auto"/>
        <w:jc w:val="left"/>
        <w:rPr>
          <w:rFonts w:ascii="宋体" w:hAnsi="宋体"/>
        </w:rPr>
      </w:pPr>
      <w:r>
        <w:rPr>
          <w:rFonts w:hint="eastAsia" w:ascii="宋体" w:hAnsi="宋体"/>
        </w:rPr>
        <w:t>CJJ</w:t>
      </w:r>
      <w:r>
        <w:rPr>
          <w:rFonts w:ascii="宋体" w:hAnsi="宋体"/>
        </w:rPr>
        <w:t>/</w:t>
      </w:r>
      <w:r>
        <w:rPr>
          <w:rFonts w:hint="eastAsia" w:ascii="宋体" w:hAnsi="宋体"/>
        </w:rPr>
        <w:t>T117—2007    建设电子文件与电子档案管理规范</w:t>
      </w:r>
    </w:p>
    <w:p>
      <w:pPr>
        <w:numPr>
          <w:ilvl w:val="0"/>
          <w:numId w:val="13"/>
        </w:numPr>
        <w:spacing w:line="276" w:lineRule="auto"/>
        <w:jc w:val="left"/>
        <w:rPr>
          <w:rFonts w:ascii="宋体" w:hAnsi="宋体"/>
        </w:rPr>
      </w:pPr>
      <w:r>
        <w:rPr>
          <w:rFonts w:hint="eastAsia" w:ascii="宋体" w:hAnsi="宋体"/>
        </w:rPr>
        <w:t>GB</w:t>
      </w:r>
      <w:r>
        <w:rPr>
          <w:rFonts w:ascii="宋体" w:hAnsi="宋体"/>
        </w:rPr>
        <w:t>/T</w:t>
      </w:r>
      <w:r>
        <w:rPr>
          <w:rFonts w:hint="eastAsia" w:ascii="宋体" w:hAnsi="宋体"/>
        </w:rPr>
        <w:t>50319－20</w:t>
      </w:r>
      <w:r>
        <w:rPr>
          <w:rFonts w:ascii="宋体" w:hAnsi="宋体"/>
        </w:rPr>
        <w:t>13</w:t>
      </w:r>
      <w:r>
        <w:rPr>
          <w:rFonts w:hint="eastAsia" w:ascii="宋体" w:hAnsi="宋体"/>
        </w:rPr>
        <w:t xml:space="preserve">   建设工程监理规范</w:t>
      </w:r>
    </w:p>
    <w:p>
      <w:pPr>
        <w:numPr>
          <w:ilvl w:val="0"/>
          <w:numId w:val="13"/>
        </w:numPr>
        <w:spacing w:line="276" w:lineRule="auto"/>
        <w:jc w:val="left"/>
        <w:rPr>
          <w:rFonts w:ascii="宋体" w:hAnsi="宋体"/>
        </w:rPr>
      </w:pPr>
      <w:r>
        <w:rPr>
          <w:rFonts w:hint="eastAsia" w:ascii="宋体" w:hAnsi="宋体"/>
        </w:rPr>
        <w:t>GB</w:t>
      </w:r>
      <w:r>
        <w:rPr>
          <w:rFonts w:ascii="宋体" w:hAnsi="宋体"/>
        </w:rPr>
        <w:t>/</w:t>
      </w:r>
      <w:r>
        <w:rPr>
          <w:rFonts w:hint="eastAsia" w:ascii="宋体" w:hAnsi="宋体"/>
        </w:rPr>
        <w:t>T50326－20</w:t>
      </w:r>
      <w:r>
        <w:rPr>
          <w:rFonts w:ascii="宋体" w:hAnsi="宋体"/>
        </w:rPr>
        <w:t>17</w:t>
      </w:r>
      <w:r>
        <w:rPr>
          <w:rFonts w:hint="eastAsia" w:ascii="宋体" w:hAnsi="宋体"/>
        </w:rPr>
        <w:t xml:space="preserve">   建设工程项目管理规范</w:t>
      </w:r>
    </w:p>
    <w:p>
      <w:pPr>
        <w:numPr>
          <w:ilvl w:val="0"/>
          <w:numId w:val="13"/>
        </w:numPr>
        <w:spacing w:line="276" w:lineRule="auto"/>
        <w:jc w:val="left"/>
        <w:rPr>
          <w:rFonts w:ascii="宋体" w:hAnsi="宋体"/>
        </w:rPr>
      </w:pPr>
      <w:r>
        <w:rPr>
          <w:rFonts w:hint="eastAsia" w:ascii="宋体" w:hAnsi="宋体"/>
        </w:rPr>
        <w:t>GB</w:t>
      </w:r>
      <w:r>
        <w:rPr>
          <w:rFonts w:ascii="宋体" w:hAnsi="宋体"/>
        </w:rPr>
        <w:t>/</w:t>
      </w:r>
      <w:r>
        <w:rPr>
          <w:rFonts w:hint="eastAsia" w:ascii="宋体" w:hAnsi="宋体"/>
        </w:rPr>
        <w:t>T50328－20</w:t>
      </w:r>
      <w:r>
        <w:rPr>
          <w:rFonts w:ascii="宋体" w:hAnsi="宋体"/>
        </w:rPr>
        <w:t>14</w:t>
      </w:r>
      <w:r>
        <w:rPr>
          <w:rFonts w:hint="eastAsia" w:ascii="宋体" w:hAnsi="宋体"/>
        </w:rPr>
        <w:t xml:space="preserve">    建设工程文件归档规范</w:t>
      </w:r>
    </w:p>
    <w:p>
      <w:pPr>
        <w:numPr>
          <w:ilvl w:val="0"/>
          <w:numId w:val="13"/>
        </w:numPr>
        <w:spacing w:line="276" w:lineRule="auto"/>
        <w:jc w:val="left"/>
        <w:rPr>
          <w:rFonts w:ascii="宋体" w:hAnsi="宋体"/>
        </w:rPr>
      </w:pPr>
      <w:r>
        <w:rPr>
          <w:rFonts w:hint="eastAsia" w:ascii="宋体" w:hAnsi="宋体"/>
        </w:rPr>
        <w:t>GB</w:t>
      </w:r>
      <w:r>
        <w:rPr>
          <w:rFonts w:ascii="宋体" w:hAnsi="宋体"/>
        </w:rPr>
        <w:t>/</w:t>
      </w:r>
      <w:r>
        <w:rPr>
          <w:rFonts w:hint="eastAsia" w:ascii="宋体" w:hAnsi="宋体"/>
        </w:rPr>
        <w:t>T50358－20</w:t>
      </w:r>
      <w:r>
        <w:rPr>
          <w:rFonts w:ascii="宋体" w:hAnsi="宋体"/>
        </w:rPr>
        <w:t>17</w:t>
      </w:r>
      <w:r>
        <w:rPr>
          <w:rFonts w:hint="eastAsia" w:ascii="宋体" w:hAnsi="宋体"/>
        </w:rPr>
        <w:t xml:space="preserve">   建设项目工程总承包管理规范</w:t>
      </w:r>
    </w:p>
    <w:p>
      <w:pPr>
        <w:numPr>
          <w:ilvl w:val="0"/>
          <w:numId w:val="13"/>
        </w:numPr>
        <w:spacing w:line="276" w:lineRule="auto"/>
        <w:jc w:val="left"/>
        <w:rPr>
          <w:rFonts w:ascii="宋体" w:hAnsi="宋体"/>
        </w:rPr>
      </w:pPr>
      <w:r>
        <w:rPr>
          <w:rFonts w:hint="eastAsia" w:ascii="宋体" w:hAnsi="宋体"/>
        </w:rPr>
        <w:t>GB</w:t>
      </w:r>
      <w:r>
        <w:rPr>
          <w:rFonts w:ascii="宋体" w:hAnsi="宋体"/>
        </w:rPr>
        <w:t>/</w:t>
      </w:r>
      <w:r>
        <w:rPr>
          <w:rFonts w:hint="eastAsia" w:ascii="宋体" w:hAnsi="宋体"/>
        </w:rPr>
        <w:t>T50430   工程建设施工企业质量管理规范</w:t>
      </w:r>
    </w:p>
    <w:p>
      <w:pPr>
        <w:numPr>
          <w:ilvl w:val="0"/>
          <w:numId w:val="13"/>
        </w:numPr>
        <w:spacing w:line="276" w:lineRule="auto"/>
        <w:jc w:val="left"/>
        <w:rPr>
          <w:rFonts w:ascii="宋体" w:hAnsi="宋体"/>
        </w:rPr>
      </w:pPr>
      <w:r>
        <w:rPr>
          <w:rFonts w:hint="eastAsia" w:ascii="宋体" w:hAnsi="宋体"/>
        </w:rPr>
        <w:t>GB</w:t>
      </w:r>
      <w:r>
        <w:rPr>
          <w:rFonts w:ascii="宋体" w:hAnsi="宋体"/>
        </w:rPr>
        <w:t>/</w:t>
      </w:r>
      <w:r>
        <w:rPr>
          <w:rFonts w:hint="eastAsia" w:ascii="宋体" w:hAnsi="宋体"/>
        </w:rPr>
        <w:t>T50502     建筑施工组织设计规范</w:t>
      </w:r>
    </w:p>
    <w:p>
      <w:pPr>
        <w:numPr>
          <w:ilvl w:val="0"/>
          <w:numId w:val="13"/>
        </w:numPr>
        <w:spacing w:line="276" w:lineRule="auto"/>
        <w:jc w:val="left"/>
        <w:rPr>
          <w:rFonts w:ascii="宋体" w:hAnsi="宋体"/>
        </w:rPr>
      </w:pPr>
      <w:r>
        <w:rPr>
          <w:rFonts w:hint="eastAsia" w:ascii="宋体" w:hAnsi="宋体"/>
        </w:rPr>
        <w:t>JGJ</w:t>
      </w:r>
      <w:r>
        <w:rPr>
          <w:rFonts w:ascii="宋体" w:hAnsi="宋体"/>
        </w:rPr>
        <w:t>/</w:t>
      </w:r>
      <w:r>
        <w:rPr>
          <w:rFonts w:hint="eastAsia" w:ascii="宋体" w:hAnsi="宋体"/>
        </w:rPr>
        <w:t>T121    工程网络计划技术规程</w:t>
      </w:r>
    </w:p>
    <w:p>
      <w:pPr>
        <w:numPr>
          <w:ilvl w:val="0"/>
          <w:numId w:val="13"/>
        </w:numPr>
        <w:spacing w:line="276" w:lineRule="auto"/>
        <w:jc w:val="left"/>
        <w:rPr>
          <w:rFonts w:ascii="宋体" w:hAnsi="宋体"/>
        </w:rPr>
      </w:pPr>
      <w:r>
        <w:rPr>
          <w:rFonts w:hint="eastAsia" w:ascii="宋体" w:hAnsi="宋体"/>
        </w:rPr>
        <w:t>GB50656      施工企业安全生产管理规范</w:t>
      </w:r>
    </w:p>
    <w:p>
      <w:pPr>
        <w:numPr>
          <w:ilvl w:val="0"/>
          <w:numId w:val="13"/>
        </w:numPr>
        <w:spacing w:line="276" w:lineRule="auto"/>
        <w:jc w:val="left"/>
        <w:rPr>
          <w:rFonts w:ascii="宋体" w:hAnsi="宋体"/>
        </w:rPr>
      </w:pPr>
      <w:r>
        <w:rPr>
          <w:rFonts w:hint="eastAsia" w:ascii="宋体" w:hAnsi="宋体"/>
        </w:rPr>
        <w:t>JGJ/T185     建筑工程资料管理规程</w:t>
      </w:r>
    </w:p>
    <w:p>
      <w:pPr>
        <w:numPr>
          <w:ilvl w:val="0"/>
          <w:numId w:val="13"/>
        </w:numPr>
        <w:spacing w:line="276" w:lineRule="auto"/>
        <w:jc w:val="left"/>
        <w:rPr>
          <w:rFonts w:ascii="宋体" w:hAnsi="宋体"/>
        </w:rPr>
      </w:pPr>
      <w:r>
        <w:rPr>
          <w:rFonts w:hint="eastAsia" w:ascii="宋体" w:hAnsi="宋体"/>
        </w:rPr>
        <w:t>JGJ/T198     施工企业工程建设技术标准化管理规范</w:t>
      </w:r>
    </w:p>
    <w:p>
      <w:pPr>
        <w:spacing w:line="276" w:lineRule="auto"/>
        <w:ind w:left="420"/>
        <w:jc w:val="left"/>
        <w:rPr>
          <w:rFonts w:ascii="宋体" w:hAnsi="宋体"/>
        </w:rPr>
      </w:pPr>
      <w:r>
        <w:rPr>
          <w:rFonts w:hint="eastAsia" w:ascii="宋体" w:hAnsi="宋体"/>
        </w:rPr>
        <w:t>8.1.3.11  公司图集</w:t>
      </w:r>
    </w:p>
    <w:p>
      <w:pPr>
        <w:numPr>
          <w:ilvl w:val="0"/>
          <w:numId w:val="13"/>
        </w:numPr>
        <w:spacing w:line="276" w:lineRule="auto"/>
        <w:jc w:val="left"/>
        <w:rPr>
          <w:rFonts w:ascii="宋体" w:hAnsi="宋体"/>
        </w:rPr>
      </w:pPr>
      <w:r>
        <w:rPr>
          <w:rFonts w:hint="eastAsia" w:ascii="宋体" w:hAnsi="宋体"/>
        </w:rPr>
        <w:t>《中铁建工集团临建标准化强制做法管理手册（1</w:t>
      </w:r>
      <w:r>
        <w:rPr>
          <w:rFonts w:ascii="宋体" w:hAnsi="宋体"/>
        </w:rPr>
        <w:t>.0</w:t>
      </w:r>
      <w:r>
        <w:rPr>
          <w:rFonts w:hint="eastAsia" w:ascii="宋体" w:hAnsi="宋体"/>
        </w:rPr>
        <w:t>版）》</w:t>
      </w:r>
    </w:p>
    <w:p>
      <w:pPr>
        <w:numPr>
          <w:ilvl w:val="0"/>
          <w:numId w:val="13"/>
        </w:numPr>
        <w:spacing w:line="276" w:lineRule="auto"/>
        <w:jc w:val="left"/>
        <w:rPr>
          <w:rFonts w:ascii="宋体" w:hAnsi="宋体"/>
        </w:rPr>
      </w:pPr>
      <w:r>
        <w:rPr>
          <w:rFonts w:hint="eastAsia" w:ascii="宋体" w:hAnsi="宋体"/>
        </w:rPr>
        <w:t>《中铁建工集团诺德投资有限公司工程质量精细化管理指引手册》</w:t>
      </w:r>
    </w:p>
    <w:p>
      <w:pPr>
        <w:spacing w:line="276" w:lineRule="auto"/>
        <w:ind w:left="840"/>
        <w:jc w:val="left"/>
        <w:rPr>
          <w:rFonts w:ascii="宋体" w:hAnsi="宋体"/>
        </w:rPr>
      </w:pPr>
    </w:p>
    <w:p>
      <w:pPr>
        <w:spacing w:line="276" w:lineRule="auto"/>
        <w:ind w:firstLine="420" w:firstLineChars="200"/>
        <w:rPr>
          <w:rFonts w:ascii="宋体" w:hAnsi="宋体"/>
        </w:rPr>
      </w:pPr>
      <w:r>
        <w:rPr>
          <w:rFonts w:hint="eastAsia" w:ascii="宋体" w:hAnsi="宋体"/>
        </w:rPr>
        <w:t>8</w:t>
      </w:r>
      <w:r>
        <w:rPr>
          <w:rFonts w:ascii="宋体" w:hAnsi="宋体"/>
        </w:rPr>
        <w:t xml:space="preserve">.1.4  </w:t>
      </w:r>
      <w:r>
        <w:rPr>
          <w:rFonts w:hint="eastAsia" w:ascii="宋体" w:hAnsi="宋体"/>
        </w:rPr>
        <w:t>适用规范标准说明</w:t>
      </w:r>
    </w:p>
    <w:p>
      <w:pPr>
        <w:spacing w:line="276" w:lineRule="auto"/>
        <w:ind w:firstLine="420" w:firstLineChars="200"/>
        <w:rPr>
          <w:rFonts w:ascii="宋体" w:hAnsi="宋体"/>
        </w:rPr>
      </w:pPr>
      <w:r>
        <w:rPr>
          <w:rFonts w:hint="eastAsia" w:ascii="宋体" w:hAnsi="宋体"/>
        </w:rPr>
        <w:t>8</w:t>
      </w:r>
      <w:r>
        <w:rPr>
          <w:rFonts w:ascii="宋体" w:hAnsi="宋体"/>
        </w:rPr>
        <w:t xml:space="preserve">.1.4.1  </w:t>
      </w:r>
      <w:r>
        <w:rPr>
          <w:rFonts w:hint="eastAsia" w:ascii="宋体" w:hAnsi="宋体"/>
        </w:rPr>
        <w:t>承包人所提供产品及服务应满足所涉及的所有国家、地方及行业颁布的相关标准、规范、规程（包括非强制执行的指导性文件）。</w:t>
      </w:r>
    </w:p>
    <w:p>
      <w:pPr>
        <w:spacing w:line="276" w:lineRule="auto"/>
        <w:ind w:firstLine="420" w:firstLineChars="200"/>
        <w:rPr>
          <w:rFonts w:ascii="宋体" w:hAnsi="宋体"/>
        </w:rPr>
      </w:pPr>
      <w:r>
        <w:rPr>
          <w:rFonts w:hint="eastAsia" w:ascii="宋体" w:hAnsi="宋体"/>
        </w:rPr>
        <w:t>8</w:t>
      </w:r>
      <w:r>
        <w:rPr>
          <w:rFonts w:ascii="宋体" w:hAnsi="宋体"/>
        </w:rPr>
        <w:t xml:space="preserve">.1.4.2  </w:t>
      </w:r>
      <w:r>
        <w:rPr>
          <w:rFonts w:hint="eastAsia" w:ascii="宋体" w:hAnsi="宋体"/>
        </w:rPr>
        <w:t>国内没有相应标准、规范的，由发包人向承包人提出技术标准和质量要求，承包人按约定的时间和要求提出生产加工工艺，经发包人、监理组织有关专家论证认可后执行。</w:t>
      </w:r>
    </w:p>
    <w:p>
      <w:pPr>
        <w:spacing w:line="276" w:lineRule="auto"/>
        <w:ind w:firstLine="420" w:firstLineChars="200"/>
        <w:rPr>
          <w:rFonts w:ascii="宋体" w:hAnsi="宋体"/>
        </w:rPr>
      </w:pPr>
      <w:r>
        <w:rPr>
          <w:rFonts w:hint="eastAsia" w:ascii="宋体" w:hAnsi="宋体"/>
        </w:rPr>
        <w:t>8</w:t>
      </w:r>
      <w:r>
        <w:rPr>
          <w:rFonts w:ascii="宋体" w:hAnsi="宋体"/>
        </w:rPr>
        <w:t xml:space="preserve">.1.4.3  </w:t>
      </w:r>
      <w:r>
        <w:rPr>
          <w:rFonts w:hint="eastAsia" w:ascii="宋体" w:hAnsi="宋体"/>
        </w:rPr>
        <w:t>承包人所提供产品及服务须遵循现行的所有最新法律、法规及规范，已发布的新规范尚未正式执行时，根据规范所适用范围在本项目实施时是否达到执行时间，在实施周期内达到的，则必须自产品及服务开始时就适用新规范。</w:t>
      </w:r>
    </w:p>
    <w:p>
      <w:pPr>
        <w:spacing w:line="276" w:lineRule="auto"/>
        <w:ind w:firstLine="420" w:firstLineChars="200"/>
        <w:rPr>
          <w:rFonts w:ascii="宋体" w:hAnsi="宋体"/>
        </w:rPr>
      </w:pPr>
      <w:r>
        <w:rPr>
          <w:rFonts w:hint="eastAsia" w:ascii="宋体" w:hAnsi="宋体"/>
        </w:rPr>
        <w:t>8</w:t>
      </w:r>
      <w:r>
        <w:rPr>
          <w:rFonts w:ascii="宋体" w:hAnsi="宋体"/>
        </w:rPr>
        <w:t xml:space="preserve">.1.4.4  </w:t>
      </w:r>
      <w:r>
        <w:rPr>
          <w:rFonts w:hint="eastAsia" w:ascii="宋体" w:hAnsi="宋体"/>
        </w:rPr>
        <w:t>若本合同规定的施工工艺、施工技术规范、材料检验标准等规范和标准与国家、行业、地方要求的程度不同，承包人应及时通知发包人和监理进行确认，并按发包人最终确认的标准、规范和规定执行。除发包人另有规定外，实际执行的标准和规范应该按本合同、国家、地方、行业中最高和最严的标准执行。</w:t>
      </w:r>
    </w:p>
    <w:p>
      <w:pPr>
        <w:pStyle w:val="3"/>
        <w:spacing w:before="0" w:after="0" w:line="276" w:lineRule="auto"/>
        <w:ind w:firstLine="413" w:firstLineChars="196"/>
        <w:rPr>
          <w:rFonts w:ascii="宋体" w:hAnsi="宋体"/>
          <w:sz w:val="21"/>
          <w:szCs w:val="21"/>
        </w:rPr>
      </w:pPr>
      <w:bookmarkStart w:id="167" w:name="_Toc405535559"/>
      <w:bookmarkStart w:id="168" w:name="_Toc144459643"/>
      <w:r>
        <w:rPr>
          <w:rFonts w:hint="eastAsia" w:ascii="宋体" w:hAnsi="宋体"/>
          <w:sz w:val="21"/>
          <w:szCs w:val="21"/>
        </w:rPr>
        <w:t>8.2  施工组织设计（专项方案）审批制度</w:t>
      </w:r>
      <w:bookmarkEnd w:id="167"/>
      <w:bookmarkEnd w:id="168"/>
    </w:p>
    <w:p>
      <w:pPr>
        <w:spacing w:line="276" w:lineRule="auto"/>
        <w:ind w:firstLine="420" w:firstLineChars="200"/>
        <w:jc w:val="left"/>
        <w:rPr>
          <w:rFonts w:ascii="宋体" w:hAnsi="宋体"/>
        </w:rPr>
      </w:pPr>
      <w:r>
        <w:rPr>
          <w:rFonts w:hint="eastAsia" w:ascii="宋体" w:hAnsi="宋体"/>
        </w:rPr>
        <w:t>施工方案审批制度：施工组织设计中必须包括本工程重要分部分项工程施工专项方案清单，各分部分项工程施工前，必须编制专项施工方案，并经监理、发包人批准，否则，不得开工，由此造成的工期延误，由承包人承担。</w:t>
      </w:r>
    </w:p>
    <w:p>
      <w:pPr>
        <w:spacing w:line="276" w:lineRule="auto"/>
        <w:rPr>
          <w:rFonts w:ascii="宋体" w:hAnsi="宋体"/>
        </w:rPr>
      </w:pPr>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886"/>
        <w:gridCol w:w="2977"/>
        <w:gridCol w:w="2976"/>
        <w:gridCol w:w="709"/>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blHeader/>
          <w:jc w:val="center"/>
        </w:trPr>
        <w:tc>
          <w:tcPr>
            <w:tcW w:w="9072" w:type="dxa"/>
            <w:gridSpan w:val="6"/>
            <w:vAlign w:val="center"/>
          </w:tcPr>
          <w:p>
            <w:pPr>
              <w:widowControl/>
              <w:spacing w:line="276" w:lineRule="auto"/>
              <w:jc w:val="center"/>
              <w:rPr>
                <w:rFonts w:ascii="宋体" w:hAnsi="宋体" w:cs="宋体"/>
                <w:bCs/>
                <w:kern w:val="0"/>
                <w:sz w:val="18"/>
                <w:szCs w:val="18"/>
              </w:rPr>
            </w:pPr>
            <w:r>
              <w:rPr>
                <w:rFonts w:hint="eastAsia" w:ascii="宋体" w:hAnsi="宋体" w:cs="宋体"/>
                <w:b/>
                <w:kern w:val="0"/>
                <w:sz w:val="18"/>
                <w:szCs w:val="18"/>
              </w:rPr>
              <w:t>表示说明：</w:t>
            </w:r>
            <w:r>
              <w:rPr>
                <w:rFonts w:hint="eastAsia" w:ascii="宋体" w:hAnsi="宋体" w:cs="宋体"/>
                <w:kern w:val="0"/>
                <w:sz w:val="18"/>
                <w:szCs w:val="18"/>
              </w:rPr>
              <w:t xml:space="preserve">    ☆表示审核；     ★表示最终批准权限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序号</w:t>
            </w:r>
          </w:p>
        </w:tc>
        <w:tc>
          <w:tcPr>
            <w:tcW w:w="886"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分部</w:t>
            </w:r>
          </w:p>
        </w:tc>
        <w:tc>
          <w:tcPr>
            <w:tcW w:w="2977"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施工组织设计(方案)</w:t>
            </w:r>
          </w:p>
        </w:tc>
        <w:tc>
          <w:tcPr>
            <w:tcW w:w="2976"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补充说明</w:t>
            </w: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w:t>
            </w:r>
          </w:p>
          <w:p>
            <w:pPr>
              <w:widowControl/>
              <w:spacing w:line="276" w:lineRule="auto"/>
              <w:jc w:val="center"/>
              <w:rPr>
                <w:rFonts w:ascii="宋体" w:hAnsi="宋体" w:cs="宋体"/>
                <w:kern w:val="0"/>
                <w:sz w:val="18"/>
                <w:szCs w:val="18"/>
              </w:rPr>
            </w:pPr>
            <w:r>
              <w:rPr>
                <w:rFonts w:hint="eastAsia" w:ascii="宋体" w:hAnsi="宋体" w:cs="宋体"/>
                <w:kern w:val="0"/>
                <w:sz w:val="18"/>
                <w:szCs w:val="18"/>
              </w:rPr>
              <w:t>公司</w:t>
            </w:r>
          </w:p>
        </w:tc>
        <w:tc>
          <w:tcPr>
            <w:tcW w:w="99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公司工程管理部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1</w:t>
            </w:r>
          </w:p>
        </w:tc>
        <w:tc>
          <w:tcPr>
            <w:tcW w:w="886" w:type="dxa"/>
            <w:vMerge w:val="restart"/>
            <w:vAlign w:val="center"/>
          </w:tcPr>
          <w:p>
            <w:pPr>
              <w:widowControl/>
              <w:spacing w:line="276" w:lineRule="auto"/>
              <w:jc w:val="center"/>
              <w:rPr>
                <w:rFonts w:ascii="宋体" w:hAnsi="宋体" w:cs="宋体"/>
                <w:b/>
                <w:bCs/>
                <w:kern w:val="0"/>
                <w:sz w:val="18"/>
                <w:szCs w:val="18"/>
              </w:rPr>
            </w:pPr>
            <w:r>
              <w:rPr>
                <w:rFonts w:hint="eastAsia" w:ascii="宋体" w:hAnsi="宋体" w:cs="宋体"/>
                <w:b/>
                <w:bCs/>
                <w:kern w:val="0"/>
                <w:sz w:val="18"/>
                <w:szCs w:val="18"/>
              </w:rPr>
              <w:t>前期</w:t>
            </w: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施工组织总设计</w:t>
            </w:r>
          </w:p>
        </w:tc>
        <w:tc>
          <w:tcPr>
            <w:tcW w:w="2976" w:type="dxa"/>
            <w:vAlign w:val="center"/>
          </w:tcPr>
          <w:p>
            <w:pPr>
              <w:widowControl/>
              <w:spacing w:line="276" w:lineRule="auto"/>
              <w:rPr>
                <w:rFonts w:ascii="宋体" w:hAnsi="宋体" w:cs="宋体"/>
                <w:kern w:val="0"/>
                <w:sz w:val="18"/>
                <w:szCs w:val="18"/>
              </w:rPr>
            </w:pPr>
            <w:r>
              <w:rPr>
                <w:rFonts w:hint="eastAsia" w:ascii="宋体" w:hAnsi="宋体"/>
                <w:sz w:val="18"/>
                <w:szCs w:val="18"/>
              </w:rPr>
              <w:t>包括：配合示范区施工及开放的方案、总包管理方案等。</w:t>
            </w: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2</w:t>
            </w:r>
          </w:p>
        </w:tc>
        <w:tc>
          <w:tcPr>
            <w:tcW w:w="886" w:type="dxa"/>
            <w:vMerge w:val="continue"/>
            <w:vAlign w:val="center"/>
          </w:tcPr>
          <w:p>
            <w:pPr>
              <w:widowControl/>
              <w:spacing w:line="276" w:lineRule="auto"/>
              <w:jc w:val="center"/>
              <w:rPr>
                <w:rFonts w:ascii="宋体" w:hAnsi="宋体" w:cs="宋体"/>
                <w:b/>
                <w:bCs/>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营业线施工方案</w:t>
            </w:r>
          </w:p>
        </w:tc>
        <w:tc>
          <w:tcPr>
            <w:tcW w:w="2976" w:type="dxa"/>
            <w:vAlign w:val="center"/>
          </w:tcPr>
          <w:p>
            <w:pPr>
              <w:widowControl/>
              <w:spacing w:line="276" w:lineRule="auto"/>
              <w:rPr>
                <w:rFonts w:ascii="宋体" w:hAnsi="宋体"/>
                <w:sz w:val="18"/>
                <w:szCs w:val="18"/>
              </w:rPr>
            </w:pPr>
            <w:r>
              <w:rPr>
                <w:rFonts w:hint="eastAsia" w:ascii="宋体" w:hAnsi="宋体"/>
                <w:sz w:val="18"/>
                <w:szCs w:val="18"/>
              </w:rPr>
              <w:t>包括：建筑限界、场站限界、行车安全监控、应急预案等</w:t>
            </w: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3</w:t>
            </w:r>
          </w:p>
        </w:tc>
        <w:tc>
          <w:tcPr>
            <w:tcW w:w="886" w:type="dxa"/>
            <w:vMerge w:val="continue"/>
            <w:vAlign w:val="center"/>
          </w:tcPr>
          <w:p>
            <w:pPr>
              <w:widowControl/>
              <w:spacing w:line="276" w:lineRule="auto"/>
              <w:jc w:val="center"/>
              <w:rPr>
                <w:rFonts w:ascii="宋体" w:hAnsi="宋体" w:cs="宋体"/>
                <w:b/>
                <w:bCs/>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质量计划</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4</w:t>
            </w:r>
          </w:p>
        </w:tc>
        <w:tc>
          <w:tcPr>
            <w:tcW w:w="886" w:type="dxa"/>
            <w:vMerge w:val="continue"/>
            <w:vAlign w:val="center"/>
          </w:tcPr>
          <w:p>
            <w:pPr>
              <w:widowControl/>
              <w:spacing w:line="276" w:lineRule="auto"/>
              <w:jc w:val="center"/>
              <w:rPr>
                <w:rFonts w:ascii="宋体" w:hAnsi="宋体" w:cs="宋体"/>
                <w:b/>
                <w:bCs/>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工程创优实施方案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质量/安全文明施工。</w:t>
            </w: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5</w:t>
            </w:r>
          </w:p>
        </w:tc>
        <w:tc>
          <w:tcPr>
            <w:tcW w:w="886" w:type="dxa"/>
            <w:vMerge w:val="continue"/>
            <w:vAlign w:val="center"/>
          </w:tcPr>
          <w:p>
            <w:pPr>
              <w:widowControl/>
              <w:spacing w:line="276" w:lineRule="auto"/>
              <w:jc w:val="center"/>
              <w:rPr>
                <w:rFonts w:ascii="宋体" w:hAnsi="宋体" w:cs="宋体"/>
                <w:b/>
                <w:bCs/>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临时用电施工组织设计</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6</w:t>
            </w:r>
          </w:p>
        </w:tc>
        <w:tc>
          <w:tcPr>
            <w:tcW w:w="886" w:type="dxa"/>
            <w:vMerge w:val="continue"/>
            <w:vAlign w:val="center"/>
          </w:tcPr>
          <w:p>
            <w:pPr>
              <w:widowControl/>
              <w:spacing w:line="276" w:lineRule="auto"/>
              <w:jc w:val="center"/>
              <w:rPr>
                <w:rFonts w:ascii="宋体" w:hAnsi="宋体" w:cs="宋体"/>
                <w:b/>
                <w:bCs/>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临时用水施工组织设计</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7</w:t>
            </w:r>
          </w:p>
        </w:tc>
        <w:tc>
          <w:tcPr>
            <w:tcW w:w="886" w:type="dxa"/>
            <w:vMerge w:val="continue"/>
            <w:vAlign w:val="center"/>
          </w:tcPr>
          <w:p>
            <w:pPr>
              <w:widowControl/>
              <w:spacing w:line="276" w:lineRule="auto"/>
              <w:jc w:val="center"/>
              <w:rPr>
                <w:rFonts w:ascii="宋体" w:hAnsi="宋体" w:cs="宋体"/>
                <w:b/>
                <w:bCs/>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安全文明施工方案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jc w:val="center"/>
            </w:pPr>
            <w:r>
              <w:rPr>
                <w:rFonts w:hint="eastAsia"/>
              </w:rPr>
              <w:t>☆</w:t>
            </w:r>
          </w:p>
        </w:tc>
        <w:tc>
          <w:tcPr>
            <w:tcW w:w="992" w:type="dxa"/>
            <w:vAlign w:val="center"/>
          </w:tcPr>
          <w:p>
            <w:pPr>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8</w:t>
            </w:r>
          </w:p>
        </w:tc>
        <w:tc>
          <w:tcPr>
            <w:tcW w:w="886" w:type="dxa"/>
            <w:vMerge w:val="continue"/>
            <w:vAlign w:val="center"/>
          </w:tcPr>
          <w:p>
            <w:pPr>
              <w:widowControl/>
              <w:spacing w:line="276" w:lineRule="auto"/>
              <w:jc w:val="center"/>
              <w:rPr>
                <w:rFonts w:ascii="宋体" w:hAnsi="宋体" w:cs="宋体"/>
                <w:b/>
                <w:bCs/>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塔吊施工方案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含基础，安装及拆除。</w:t>
            </w: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9</w:t>
            </w:r>
          </w:p>
        </w:tc>
        <w:tc>
          <w:tcPr>
            <w:tcW w:w="886" w:type="dxa"/>
            <w:vMerge w:val="continue"/>
            <w:vAlign w:val="center"/>
          </w:tcPr>
          <w:p>
            <w:pPr>
              <w:widowControl/>
              <w:spacing w:line="276" w:lineRule="auto"/>
              <w:jc w:val="center"/>
              <w:rPr>
                <w:rFonts w:ascii="宋体" w:hAnsi="宋体" w:cs="宋体"/>
                <w:b/>
                <w:bCs/>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群塔防碰撞施工方案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10</w:t>
            </w:r>
          </w:p>
        </w:tc>
        <w:tc>
          <w:tcPr>
            <w:tcW w:w="886" w:type="dxa"/>
            <w:vMerge w:val="continue"/>
            <w:vAlign w:val="center"/>
          </w:tcPr>
          <w:p>
            <w:pPr>
              <w:widowControl/>
              <w:spacing w:line="276" w:lineRule="auto"/>
              <w:jc w:val="center"/>
              <w:rPr>
                <w:rFonts w:ascii="宋体" w:hAnsi="宋体" w:cs="宋体"/>
                <w:b/>
                <w:bCs/>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工程质量通病防治方案及施工措施</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重点包括：防渗漏、防开裂防地面起砂、防墙地铺装空鼓、防瓷砖脱落等方案。</w:t>
            </w: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11</w:t>
            </w:r>
          </w:p>
        </w:tc>
        <w:tc>
          <w:tcPr>
            <w:tcW w:w="886" w:type="dxa"/>
            <w:vMerge w:val="continue"/>
            <w:vAlign w:val="center"/>
          </w:tcPr>
          <w:p>
            <w:pPr>
              <w:widowControl/>
              <w:spacing w:line="276" w:lineRule="auto"/>
              <w:jc w:val="center"/>
              <w:rPr>
                <w:rFonts w:ascii="宋体" w:hAnsi="宋体" w:cs="宋体"/>
                <w:b/>
                <w:bCs/>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测量施工方案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含沉降观测。</w:t>
            </w: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12</w:t>
            </w:r>
          </w:p>
        </w:tc>
        <w:tc>
          <w:tcPr>
            <w:tcW w:w="886" w:type="dxa"/>
            <w:vMerge w:val="continue"/>
            <w:vAlign w:val="center"/>
          </w:tcPr>
          <w:p>
            <w:pPr>
              <w:widowControl/>
              <w:spacing w:line="276" w:lineRule="auto"/>
              <w:jc w:val="center"/>
              <w:rPr>
                <w:rFonts w:ascii="宋体" w:hAnsi="宋体" w:cs="宋体"/>
                <w:b/>
                <w:bCs/>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雨季施工方案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3</w:t>
            </w:r>
          </w:p>
        </w:tc>
        <w:tc>
          <w:tcPr>
            <w:tcW w:w="886" w:type="dxa"/>
            <w:vMerge w:val="continue"/>
            <w:vAlign w:val="center"/>
          </w:tcPr>
          <w:p>
            <w:pPr>
              <w:widowControl/>
              <w:spacing w:line="276" w:lineRule="auto"/>
              <w:jc w:val="center"/>
              <w:rPr>
                <w:rFonts w:ascii="宋体" w:hAnsi="宋体" w:cs="宋体"/>
                <w:b/>
                <w:bCs/>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暑期施工方案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14</w:t>
            </w:r>
          </w:p>
        </w:tc>
        <w:tc>
          <w:tcPr>
            <w:tcW w:w="886" w:type="dxa"/>
            <w:vMerge w:val="continue"/>
            <w:vAlign w:val="center"/>
          </w:tcPr>
          <w:p>
            <w:pPr>
              <w:widowControl/>
              <w:spacing w:line="276" w:lineRule="auto"/>
              <w:jc w:val="center"/>
              <w:rPr>
                <w:rFonts w:ascii="宋体" w:hAnsi="宋体" w:cs="宋体"/>
                <w:b/>
                <w:bCs/>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施工现场应急预案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532" w:type="dxa"/>
            <w:vAlign w:val="center"/>
          </w:tcPr>
          <w:p>
            <w:pPr>
              <w:widowControl/>
              <w:spacing w:line="276" w:lineRule="auto"/>
              <w:jc w:val="center"/>
              <w:rPr>
                <w:rFonts w:ascii="宋体" w:hAnsi="宋体" w:cs="宋体"/>
                <w:kern w:val="0"/>
                <w:sz w:val="18"/>
                <w:szCs w:val="18"/>
              </w:rPr>
            </w:pPr>
            <w:r>
              <w:rPr>
                <w:rFonts w:ascii="宋体" w:hAnsi="宋体" w:cs="宋体"/>
                <w:kern w:val="0"/>
                <w:sz w:val="18"/>
                <w:szCs w:val="18"/>
              </w:rPr>
              <w:t>16</w:t>
            </w:r>
          </w:p>
        </w:tc>
        <w:tc>
          <w:tcPr>
            <w:tcW w:w="886" w:type="dxa"/>
            <w:vMerge w:val="continue"/>
            <w:vAlign w:val="center"/>
          </w:tcPr>
          <w:p>
            <w:pPr>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防水施工方案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必须有细部处理、施工缝、后浇带施工方案、成品保护。</w:t>
            </w: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32" w:type="dxa"/>
            <w:vAlign w:val="center"/>
          </w:tcPr>
          <w:p>
            <w:pPr>
              <w:widowControl/>
              <w:spacing w:line="276" w:lineRule="auto"/>
              <w:jc w:val="center"/>
              <w:rPr>
                <w:rFonts w:ascii="宋体" w:hAnsi="宋体" w:cs="宋体"/>
                <w:kern w:val="0"/>
                <w:sz w:val="18"/>
                <w:szCs w:val="18"/>
              </w:rPr>
            </w:pPr>
            <w:r>
              <w:rPr>
                <w:rFonts w:ascii="宋体" w:hAnsi="宋体" w:cs="宋体"/>
                <w:kern w:val="0"/>
                <w:sz w:val="18"/>
                <w:szCs w:val="18"/>
              </w:rPr>
              <w:t>17</w:t>
            </w:r>
          </w:p>
        </w:tc>
        <w:tc>
          <w:tcPr>
            <w:tcW w:w="886" w:type="dxa"/>
            <w:vMerge w:val="continue"/>
            <w:vAlign w:val="center"/>
          </w:tcPr>
          <w:p>
            <w:pPr>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大体积混凝土专项施工方案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重点包括裂缝预防措施</w:t>
            </w: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32" w:type="dxa"/>
            <w:vAlign w:val="center"/>
          </w:tcPr>
          <w:p>
            <w:pPr>
              <w:widowControl/>
              <w:spacing w:line="276" w:lineRule="auto"/>
              <w:jc w:val="center"/>
              <w:rPr>
                <w:rFonts w:ascii="宋体" w:hAnsi="宋体" w:cs="宋体"/>
                <w:kern w:val="0"/>
                <w:sz w:val="18"/>
                <w:szCs w:val="18"/>
              </w:rPr>
            </w:pPr>
            <w:r>
              <w:rPr>
                <w:rFonts w:ascii="宋体" w:hAnsi="宋体" w:cs="宋体"/>
                <w:kern w:val="0"/>
                <w:sz w:val="18"/>
                <w:szCs w:val="18"/>
              </w:rPr>
              <w:t>18</w:t>
            </w:r>
          </w:p>
        </w:tc>
        <w:tc>
          <w:tcPr>
            <w:tcW w:w="886" w:type="dxa"/>
            <w:vMerge w:val="continue"/>
            <w:vAlign w:val="center"/>
          </w:tcPr>
          <w:p>
            <w:pPr>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人防工程施工专项方案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532" w:type="dxa"/>
            <w:vAlign w:val="center"/>
          </w:tcPr>
          <w:p>
            <w:pPr>
              <w:widowControl/>
              <w:spacing w:line="276" w:lineRule="auto"/>
              <w:jc w:val="center"/>
              <w:rPr>
                <w:rFonts w:ascii="宋体" w:hAnsi="宋体" w:cs="宋体"/>
                <w:kern w:val="0"/>
                <w:sz w:val="18"/>
                <w:szCs w:val="18"/>
              </w:rPr>
            </w:pPr>
            <w:r>
              <w:rPr>
                <w:rFonts w:ascii="宋体" w:hAnsi="宋体" w:cs="宋体"/>
                <w:kern w:val="0"/>
                <w:sz w:val="18"/>
                <w:szCs w:val="18"/>
              </w:rPr>
              <w:t>19</w:t>
            </w:r>
          </w:p>
        </w:tc>
        <w:tc>
          <w:tcPr>
            <w:tcW w:w="886" w:type="dxa"/>
            <w:vMerge w:val="continue"/>
            <w:vAlign w:val="center"/>
          </w:tcPr>
          <w:p>
            <w:pPr>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脚手架施工方案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含落地架、悬挑架、爬架、盘扣架、碗扣架等。</w:t>
            </w: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532" w:type="dxa"/>
            <w:vAlign w:val="center"/>
          </w:tcPr>
          <w:p>
            <w:pPr>
              <w:widowControl/>
              <w:spacing w:line="276" w:lineRule="auto"/>
              <w:jc w:val="center"/>
              <w:rPr>
                <w:rFonts w:ascii="宋体" w:hAnsi="宋体" w:cs="宋体"/>
                <w:kern w:val="0"/>
                <w:sz w:val="18"/>
                <w:szCs w:val="18"/>
              </w:rPr>
            </w:pPr>
            <w:r>
              <w:rPr>
                <w:rFonts w:ascii="宋体" w:hAnsi="宋体" w:cs="宋体"/>
                <w:kern w:val="0"/>
                <w:sz w:val="18"/>
                <w:szCs w:val="18"/>
              </w:rPr>
              <w:t>20</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主体结构施工方案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主体阶段总体规划及钢筋、模板、混凝土施工方案。</w:t>
            </w: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532" w:type="dxa"/>
            <w:vAlign w:val="center"/>
          </w:tcPr>
          <w:p>
            <w:pPr>
              <w:widowControl/>
              <w:spacing w:line="276" w:lineRule="auto"/>
              <w:jc w:val="center"/>
              <w:rPr>
                <w:rFonts w:ascii="宋体" w:hAnsi="宋体" w:cs="宋体"/>
                <w:kern w:val="0"/>
                <w:sz w:val="18"/>
                <w:szCs w:val="18"/>
              </w:rPr>
            </w:pPr>
            <w:r>
              <w:rPr>
                <w:rFonts w:ascii="宋体" w:hAnsi="宋体" w:cs="宋体"/>
                <w:kern w:val="0"/>
                <w:sz w:val="18"/>
                <w:szCs w:val="18"/>
              </w:rPr>
              <w:t>21</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高支模施工专项方案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jc w:val="center"/>
            </w:pPr>
            <w:r>
              <w:rPr>
                <w:rFonts w:hint="eastAsia"/>
              </w:rPr>
              <w:t>☆</w:t>
            </w:r>
          </w:p>
        </w:tc>
        <w:tc>
          <w:tcPr>
            <w:tcW w:w="992" w:type="dxa"/>
            <w:vAlign w:val="center"/>
          </w:tcPr>
          <w:p>
            <w:pPr>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532" w:type="dxa"/>
            <w:vAlign w:val="center"/>
          </w:tcPr>
          <w:p>
            <w:pPr>
              <w:widowControl/>
              <w:spacing w:line="276" w:lineRule="auto"/>
              <w:jc w:val="center"/>
              <w:rPr>
                <w:rFonts w:ascii="宋体" w:hAnsi="宋体" w:cs="宋体"/>
                <w:kern w:val="0"/>
                <w:sz w:val="18"/>
                <w:szCs w:val="18"/>
              </w:rPr>
            </w:pPr>
            <w:r>
              <w:rPr>
                <w:rFonts w:ascii="宋体" w:hAnsi="宋体" w:cs="宋体"/>
                <w:kern w:val="0"/>
                <w:sz w:val="18"/>
                <w:szCs w:val="18"/>
              </w:rPr>
              <w:t>22</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砌体施工方案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532" w:type="dxa"/>
            <w:vAlign w:val="center"/>
          </w:tcPr>
          <w:p>
            <w:pPr>
              <w:widowControl/>
              <w:spacing w:line="276" w:lineRule="auto"/>
              <w:jc w:val="center"/>
              <w:rPr>
                <w:rFonts w:ascii="宋体" w:hAnsi="宋体" w:cs="宋体"/>
                <w:kern w:val="0"/>
                <w:sz w:val="18"/>
                <w:szCs w:val="18"/>
              </w:rPr>
            </w:pPr>
            <w:r>
              <w:rPr>
                <w:rFonts w:ascii="宋体" w:hAnsi="宋体" w:cs="宋体"/>
                <w:kern w:val="0"/>
                <w:sz w:val="18"/>
                <w:szCs w:val="18"/>
              </w:rPr>
              <w:t>23</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施工电梯施工方案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含基础，安装及拆除。</w:t>
            </w: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532" w:type="dxa"/>
            <w:vAlign w:val="center"/>
          </w:tcPr>
          <w:p>
            <w:pPr>
              <w:widowControl/>
              <w:spacing w:line="276" w:lineRule="auto"/>
              <w:jc w:val="center"/>
              <w:rPr>
                <w:rFonts w:ascii="宋体" w:hAnsi="宋体" w:cs="宋体"/>
                <w:kern w:val="0"/>
                <w:sz w:val="18"/>
                <w:szCs w:val="18"/>
              </w:rPr>
            </w:pPr>
            <w:r>
              <w:rPr>
                <w:rFonts w:ascii="宋体" w:hAnsi="宋体" w:cs="宋体"/>
                <w:kern w:val="0"/>
                <w:sz w:val="18"/>
                <w:szCs w:val="18"/>
              </w:rPr>
              <w:t>24</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卸料平台搭设方案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含制作、安装及吊装。</w:t>
            </w: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32" w:type="dxa"/>
            <w:vAlign w:val="center"/>
          </w:tcPr>
          <w:p>
            <w:pPr>
              <w:widowControl/>
              <w:spacing w:line="276" w:lineRule="auto"/>
              <w:jc w:val="center"/>
              <w:rPr>
                <w:rFonts w:ascii="宋体" w:hAnsi="宋体" w:cs="宋体"/>
                <w:kern w:val="0"/>
                <w:sz w:val="18"/>
                <w:szCs w:val="18"/>
              </w:rPr>
            </w:pPr>
            <w:r>
              <w:rPr>
                <w:rFonts w:ascii="宋体" w:hAnsi="宋体" w:cs="宋体"/>
                <w:kern w:val="0"/>
                <w:sz w:val="18"/>
                <w:szCs w:val="18"/>
              </w:rPr>
              <w:t>25</w:t>
            </w:r>
          </w:p>
        </w:tc>
        <w:tc>
          <w:tcPr>
            <w:tcW w:w="886" w:type="dxa"/>
            <w:vMerge w:val="restart"/>
            <w:vAlign w:val="center"/>
          </w:tcPr>
          <w:p>
            <w:pPr>
              <w:widowControl/>
              <w:spacing w:line="276" w:lineRule="auto"/>
              <w:jc w:val="center"/>
              <w:rPr>
                <w:rFonts w:ascii="宋体" w:hAnsi="宋体" w:cs="宋体"/>
                <w:kern w:val="0"/>
                <w:sz w:val="18"/>
                <w:szCs w:val="18"/>
              </w:rPr>
            </w:pPr>
          </w:p>
          <w:p>
            <w:pPr>
              <w:widowControl/>
              <w:spacing w:line="276" w:lineRule="auto"/>
              <w:jc w:val="center"/>
              <w:rPr>
                <w:rFonts w:ascii="宋体" w:hAnsi="宋体" w:cs="宋体"/>
                <w:kern w:val="0"/>
                <w:sz w:val="18"/>
                <w:szCs w:val="18"/>
              </w:rPr>
            </w:pPr>
          </w:p>
          <w:p>
            <w:pPr>
              <w:widowControl/>
              <w:spacing w:line="276" w:lineRule="auto"/>
              <w:jc w:val="center"/>
              <w:rPr>
                <w:rFonts w:ascii="宋体" w:hAnsi="宋体" w:cs="宋体"/>
                <w:kern w:val="0"/>
                <w:sz w:val="18"/>
                <w:szCs w:val="18"/>
              </w:rPr>
            </w:pPr>
          </w:p>
          <w:p>
            <w:pPr>
              <w:widowControl/>
              <w:spacing w:line="276" w:lineRule="auto"/>
              <w:jc w:val="center"/>
              <w:rPr>
                <w:rFonts w:ascii="宋体" w:hAnsi="宋体" w:cs="宋体"/>
                <w:kern w:val="0"/>
                <w:sz w:val="18"/>
                <w:szCs w:val="18"/>
              </w:rPr>
            </w:pPr>
          </w:p>
          <w:p>
            <w:pPr>
              <w:widowControl/>
              <w:spacing w:line="276" w:lineRule="auto"/>
              <w:jc w:val="center"/>
              <w:rPr>
                <w:rFonts w:ascii="宋体" w:hAnsi="宋体" w:cs="宋体"/>
                <w:kern w:val="0"/>
                <w:sz w:val="18"/>
                <w:szCs w:val="18"/>
              </w:rPr>
            </w:pPr>
            <w:r>
              <w:rPr>
                <w:rFonts w:hint="eastAsia" w:ascii="宋体" w:hAnsi="宋体" w:cs="宋体"/>
                <w:b/>
                <w:kern w:val="0"/>
                <w:sz w:val="18"/>
                <w:szCs w:val="18"/>
              </w:rPr>
              <w:t>装饰装修工程</w:t>
            </w:r>
          </w:p>
          <w:p>
            <w:pPr>
              <w:widowControl/>
              <w:spacing w:line="276" w:lineRule="auto"/>
              <w:jc w:val="center"/>
              <w:rPr>
                <w:rFonts w:ascii="宋体" w:hAnsi="宋体" w:cs="宋体"/>
                <w:kern w:val="0"/>
                <w:sz w:val="18"/>
                <w:szCs w:val="18"/>
              </w:rPr>
            </w:pPr>
          </w:p>
          <w:p>
            <w:pPr>
              <w:widowControl/>
              <w:spacing w:line="276" w:lineRule="auto"/>
              <w:jc w:val="center"/>
              <w:rPr>
                <w:rFonts w:ascii="宋体" w:hAnsi="宋体" w:cs="宋体"/>
                <w:kern w:val="0"/>
                <w:sz w:val="18"/>
                <w:szCs w:val="18"/>
              </w:rPr>
            </w:pPr>
          </w:p>
          <w:p>
            <w:pPr>
              <w:widowControl/>
              <w:spacing w:line="276" w:lineRule="auto"/>
              <w:jc w:val="center"/>
              <w:rPr>
                <w:rFonts w:ascii="宋体" w:hAnsi="宋体" w:cs="宋体"/>
                <w:kern w:val="0"/>
                <w:sz w:val="18"/>
                <w:szCs w:val="18"/>
              </w:rPr>
            </w:pPr>
          </w:p>
          <w:p>
            <w:pPr>
              <w:widowControl/>
              <w:spacing w:line="276" w:lineRule="auto"/>
              <w:jc w:val="center"/>
              <w:rPr>
                <w:rFonts w:ascii="宋体" w:hAnsi="宋体" w:cs="宋体"/>
                <w:kern w:val="0"/>
                <w:sz w:val="18"/>
                <w:szCs w:val="18"/>
              </w:rPr>
            </w:pPr>
          </w:p>
          <w:p>
            <w:pPr>
              <w:widowControl/>
              <w:spacing w:line="276" w:lineRule="auto"/>
              <w:jc w:val="center"/>
              <w:rPr>
                <w:rFonts w:ascii="宋体" w:hAnsi="宋体" w:cs="宋体"/>
                <w:kern w:val="0"/>
                <w:sz w:val="18"/>
                <w:szCs w:val="18"/>
              </w:rPr>
            </w:pPr>
          </w:p>
          <w:p>
            <w:pPr>
              <w:widowControl/>
              <w:spacing w:line="276" w:lineRule="auto"/>
              <w:jc w:val="center"/>
              <w:rPr>
                <w:rFonts w:ascii="宋体" w:hAnsi="宋体" w:cs="宋体"/>
                <w:kern w:val="0"/>
                <w:sz w:val="18"/>
                <w:szCs w:val="18"/>
              </w:rPr>
            </w:pPr>
          </w:p>
          <w:p>
            <w:pPr>
              <w:widowControl/>
              <w:spacing w:line="276" w:lineRule="auto"/>
              <w:jc w:val="center"/>
              <w:rPr>
                <w:rFonts w:ascii="宋体" w:hAnsi="宋体" w:cs="宋体"/>
                <w:kern w:val="0"/>
                <w:sz w:val="18"/>
                <w:szCs w:val="18"/>
              </w:rPr>
            </w:pPr>
          </w:p>
          <w:p>
            <w:pPr>
              <w:widowControl/>
              <w:spacing w:line="276" w:lineRule="auto"/>
              <w:jc w:val="center"/>
              <w:rPr>
                <w:rFonts w:ascii="宋体" w:hAnsi="宋体" w:cs="宋体"/>
                <w:b/>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楼地面施工方案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含吊洞等。</w:t>
            </w:r>
          </w:p>
        </w:tc>
        <w:tc>
          <w:tcPr>
            <w:tcW w:w="709" w:type="dxa"/>
            <w:vAlign w:val="center"/>
          </w:tcPr>
          <w:p>
            <w:pPr>
              <w:jc w:val="center"/>
            </w:pPr>
            <w:r>
              <w:rPr>
                <w:rFonts w:hint="eastAsia"/>
              </w:rPr>
              <w:t>★</w:t>
            </w:r>
          </w:p>
        </w:tc>
        <w:tc>
          <w:tcPr>
            <w:tcW w:w="99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6</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防水施工方案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jc w:val="center"/>
            </w:pPr>
            <w:r>
              <w:rPr>
                <w:rFonts w:hint="eastAsia"/>
              </w:rPr>
              <w:t>★</w:t>
            </w:r>
          </w:p>
        </w:tc>
        <w:tc>
          <w:tcPr>
            <w:tcW w:w="99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27</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烟道安装施工方案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28</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外墙保温施工方案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含外墙螺栓眼封堵等。</w:t>
            </w: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29</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玻璃、石材、金属幕墙施工方案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包括与土建施工的配合方案、防渗漏方案。</w:t>
            </w: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30</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铁艺、玻璃、栏杆施工方案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31</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入户门安装方案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包括与土建施工的配合方案及成品保护方案。</w:t>
            </w: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32</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防火门安装方案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3</w:t>
            </w:r>
            <w:r>
              <w:rPr>
                <w:rFonts w:ascii="宋体" w:hAnsi="宋体" w:cs="宋体"/>
                <w:kern w:val="0"/>
                <w:sz w:val="18"/>
                <w:szCs w:val="18"/>
              </w:rPr>
              <w:t>3</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外墙涂料施工方案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jc w:val="center"/>
            </w:pPr>
            <w:r>
              <w:rPr>
                <w:rFonts w:hint="eastAsia"/>
              </w:rPr>
              <w:t>★</w:t>
            </w:r>
          </w:p>
        </w:tc>
        <w:tc>
          <w:tcPr>
            <w:tcW w:w="992"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34</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吊篮作业专项施工方案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35</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大堂（公共电梯间）精装修施工方案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包括墙、地铺装排版方案。</w:t>
            </w: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36</w:t>
            </w:r>
          </w:p>
        </w:tc>
        <w:tc>
          <w:tcPr>
            <w:tcW w:w="886" w:type="dxa"/>
            <w:vAlign w:val="center"/>
          </w:tcPr>
          <w:p>
            <w:pPr>
              <w:widowControl/>
              <w:spacing w:line="276" w:lineRule="auto"/>
              <w:jc w:val="center"/>
              <w:rPr>
                <w:rFonts w:ascii="宋体" w:hAnsi="宋体" w:cs="宋体"/>
                <w:b/>
                <w:kern w:val="0"/>
                <w:sz w:val="18"/>
                <w:szCs w:val="18"/>
              </w:rPr>
            </w:pPr>
            <w:r>
              <w:rPr>
                <w:rFonts w:hint="eastAsia" w:ascii="宋体" w:hAnsi="宋体" w:cs="宋体"/>
                <w:b/>
                <w:kern w:val="0"/>
                <w:sz w:val="18"/>
                <w:szCs w:val="18"/>
              </w:rPr>
              <w:t>屋面</w:t>
            </w:r>
          </w:p>
          <w:p>
            <w:pPr>
              <w:widowControl/>
              <w:spacing w:line="276" w:lineRule="auto"/>
              <w:jc w:val="center"/>
              <w:rPr>
                <w:rFonts w:ascii="宋体" w:hAnsi="宋体" w:cs="宋体"/>
                <w:kern w:val="0"/>
                <w:sz w:val="18"/>
                <w:szCs w:val="18"/>
              </w:rPr>
            </w:pPr>
            <w:r>
              <w:rPr>
                <w:rFonts w:hint="eastAsia" w:ascii="宋体" w:hAnsi="宋体" w:cs="宋体"/>
                <w:b/>
                <w:kern w:val="0"/>
                <w:sz w:val="18"/>
                <w:szCs w:val="18"/>
              </w:rPr>
              <w:t>工程</w:t>
            </w:r>
          </w:p>
        </w:tc>
        <w:tc>
          <w:tcPr>
            <w:tcW w:w="2977"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屋面施工方案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保温、防水、天沟等细部做法。</w:t>
            </w: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3</w:t>
            </w:r>
            <w:r>
              <w:rPr>
                <w:rFonts w:ascii="宋体" w:hAnsi="宋体" w:cs="宋体"/>
                <w:kern w:val="0"/>
                <w:sz w:val="18"/>
                <w:szCs w:val="18"/>
              </w:rPr>
              <w:t>7</w:t>
            </w:r>
          </w:p>
        </w:tc>
        <w:tc>
          <w:tcPr>
            <w:tcW w:w="886" w:type="dxa"/>
            <w:vMerge w:val="restart"/>
            <w:vAlign w:val="center"/>
          </w:tcPr>
          <w:p>
            <w:pPr>
              <w:widowControl/>
              <w:spacing w:line="276" w:lineRule="auto"/>
              <w:jc w:val="center"/>
              <w:rPr>
                <w:rFonts w:ascii="宋体" w:hAnsi="宋体" w:cs="宋体"/>
                <w:b/>
                <w:kern w:val="0"/>
                <w:sz w:val="18"/>
                <w:szCs w:val="18"/>
              </w:rPr>
            </w:pPr>
            <w:r>
              <w:rPr>
                <w:rFonts w:hint="eastAsia" w:ascii="宋体" w:hAnsi="宋体" w:cs="宋体"/>
                <w:b/>
                <w:kern w:val="0"/>
                <w:sz w:val="18"/>
                <w:szCs w:val="18"/>
              </w:rPr>
              <w:t>安装</w:t>
            </w:r>
          </w:p>
          <w:p>
            <w:pPr>
              <w:widowControl/>
              <w:spacing w:line="276" w:lineRule="auto"/>
              <w:jc w:val="center"/>
              <w:rPr>
                <w:rFonts w:ascii="宋体" w:hAnsi="宋体" w:cs="宋体"/>
                <w:b/>
                <w:kern w:val="0"/>
                <w:sz w:val="18"/>
                <w:szCs w:val="18"/>
              </w:rPr>
            </w:pPr>
            <w:r>
              <w:rPr>
                <w:rFonts w:hint="eastAsia" w:ascii="宋体" w:hAnsi="宋体" w:cs="宋体"/>
                <w:b/>
                <w:kern w:val="0"/>
                <w:sz w:val="18"/>
                <w:szCs w:val="18"/>
              </w:rPr>
              <w:t>工程</w:t>
            </w:r>
          </w:p>
        </w:tc>
        <w:tc>
          <w:tcPr>
            <w:tcW w:w="2977" w:type="dxa"/>
            <w:vAlign w:val="center"/>
          </w:tcPr>
          <w:p>
            <w:pPr>
              <w:spacing w:line="276" w:lineRule="auto"/>
              <w:rPr>
                <w:rFonts w:ascii="宋体" w:hAnsi="宋体"/>
                <w:sz w:val="18"/>
                <w:szCs w:val="18"/>
              </w:rPr>
            </w:pPr>
            <w:r>
              <w:rPr>
                <w:rFonts w:hint="eastAsia" w:ascii="宋体" w:hAnsi="宋体"/>
                <w:sz w:val="18"/>
                <w:szCs w:val="18"/>
              </w:rPr>
              <w:t>电气工程施工组织设计</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532" w:type="dxa"/>
            <w:vAlign w:val="center"/>
          </w:tcPr>
          <w:p>
            <w:pPr>
              <w:widowControl/>
              <w:spacing w:line="276" w:lineRule="auto"/>
              <w:jc w:val="center"/>
              <w:rPr>
                <w:rFonts w:ascii="宋体" w:hAnsi="宋体" w:cs="宋体"/>
                <w:kern w:val="0"/>
                <w:sz w:val="18"/>
                <w:szCs w:val="18"/>
              </w:rPr>
            </w:pPr>
            <w:r>
              <w:rPr>
                <w:rFonts w:ascii="宋体" w:hAnsi="宋体" w:cs="宋体"/>
                <w:kern w:val="0"/>
                <w:sz w:val="18"/>
                <w:szCs w:val="18"/>
              </w:rPr>
              <w:t>38</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给排水工程施工组织设计</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39</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通风工程施工组织设计</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40</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消防工程施工组织设计</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4</w:t>
            </w:r>
            <w:r>
              <w:rPr>
                <w:rFonts w:ascii="宋体" w:hAnsi="宋体" w:cs="宋体"/>
                <w:kern w:val="0"/>
                <w:sz w:val="18"/>
                <w:szCs w:val="18"/>
              </w:rPr>
              <w:t>1</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弱电（含安防）工程施工组织设计</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4</w:t>
            </w:r>
            <w:r>
              <w:rPr>
                <w:rFonts w:ascii="宋体" w:hAnsi="宋体" w:cs="宋体"/>
                <w:kern w:val="0"/>
                <w:sz w:val="18"/>
                <w:szCs w:val="18"/>
              </w:rPr>
              <w:t>2</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给排水工程管道试水试压方案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4</w:t>
            </w:r>
            <w:r>
              <w:rPr>
                <w:rFonts w:ascii="宋体" w:hAnsi="宋体" w:cs="宋体"/>
                <w:kern w:val="0"/>
                <w:sz w:val="18"/>
                <w:szCs w:val="18"/>
              </w:rPr>
              <w:t>3</w:t>
            </w:r>
          </w:p>
        </w:tc>
        <w:tc>
          <w:tcPr>
            <w:tcW w:w="886" w:type="dxa"/>
            <w:vMerge w:val="restart"/>
            <w:vAlign w:val="center"/>
          </w:tcPr>
          <w:p>
            <w:pPr>
              <w:widowControl/>
              <w:spacing w:line="276" w:lineRule="auto"/>
              <w:jc w:val="center"/>
              <w:rPr>
                <w:rFonts w:ascii="宋体" w:hAnsi="宋体" w:cs="宋体"/>
                <w:b/>
                <w:kern w:val="0"/>
                <w:sz w:val="18"/>
                <w:szCs w:val="18"/>
              </w:rPr>
            </w:pPr>
            <w:r>
              <w:rPr>
                <w:rFonts w:hint="eastAsia" w:ascii="宋体" w:hAnsi="宋体" w:cs="宋体"/>
                <w:b/>
                <w:kern w:val="0"/>
                <w:sz w:val="18"/>
                <w:szCs w:val="18"/>
              </w:rPr>
              <w:t>安装</w:t>
            </w:r>
          </w:p>
          <w:p>
            <w:pPr>
              <w:spacing w:line="276" w:lineRule="auto"/>
              <w:jc w:val="center"/>
              <w:rPr>
                <w:rFonts w:ascii="宋体" w:hAnsi="宋体" w:cs="宋体"/>
                <w:b/>
                <w:kern w:val="0"/>
                <w:sz w:val="18"/>
                <w:szCs w:val="18"/>
              </w:rPr>
            </w:pPr>
            <w:r>
              <w:rPr>
                <w:rFonts w:hint="eastAsia" w:ascii="宋体" w:hAnsi="宋体" w:cs="宋体"/>
                <w:b/>
                <w:kern w:val="0"/>
                <w:sz w:val="18"/>
                <w:szCs w:val="18"/>
              </w:rPr>
              <w:t>工程</w:t>
            </w:r>
          </w:p>
        </w:tc>
        <w:tc>
          <w:tcPr>
            <w:tcW w:w="2977" w:type="dxa"/>
            <w:vAlign w:val="center"/>
          </w:tcPr>
          <w:p>
            <w:pPr>
              <w:spacing w:line="276" w:lineRule="auto"/>
              <w:rPr>
                <w:rFonts w:ascii="宋体" w:hAnsi="宋体"/>
                <w:sz w:val="18"/>
                <w:szCs w:val="18"/>
              </w:rPr>
            </w:pPr>
            <w:r>
              <w:rPr>
                <w:rFonts w:hint="eastAsia" w:ascii="宋体" w:hAnsi="宋体"/>
                <w:sz w:val="18"/>
                <w:szCs w:val="18"/>
              </w:rPr>
              <w:t>电气工程绝缘测试方案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32" w:type="dxa"/>
            <w:vAlign w:val="center"/>
          </w:tcPr>
          <w:p>
            <w:pPr>
              <w:spacing w:line="276" w:lineRule="auto"/>
              <w:jc w:val="center"/>
              <w:rPr>
                <w:rFonts w:ascii="宋体" w:hAnsi="宋体" w:cs="宋体"/>
                <w:kern w:val="0"/>
                <w:sz w:val="18"/>
                <w:szCs w:val="18"/>
              </w:rPr>
            </w:pPr>
            <w:r>
              <w:rPr>
                <w:rFonts w:hint="eastAsia" w:ascii="宋体" w:hAnsi="宋体" w:cs="宋体"/>
                <w:kern w:val="0"/>
                <w:sz w:val="18"/>
                <w:szCs w:val="18"/>
              </w:rPr>
              <w:t>4</w:t>
            </w:r>
            <w:r>
              <w:rPr>
                <w:rFonts w:ascii="宋体" w:hAnsi="宋体" w:cs="宋体"/>
                <w:kern w:val="0"/>
                <w:sz w:val="18"/>
                <w:szCs w:val="18"/>
              </w:rPr>
              <w:t>4</w:t>
            </w:r>
          </w:p>
        </w:tc>
        <w:tc>
          <w:tcPr>
            <w:tcW w:w="886" w:type="dxa"/>
            <w:vMerge w:val="continue"/>
            <w:vAlign w:val="center"/>
          </w:tcPr>
          <w:p>
            <w:pPr>
              <w:spacing w:line="276" w:lineRule="auto"/>
              <w:jc w:val="center"/>
              <w:rPr>
                <w:rFonts w:ascii="宋体" w:hAnsi="宋体" w:cs="宋体"/>
                <w:b/>
                <w:kern w:val="0"/>
                <w:sz w:val="18"/>
                <w:szCs w:val="18"/>
              </w:rPr>
            </w:pPr>
          </w:p>
        </w:tc>
        <w:tc>
          <w:tcPr>
            <w:tcW w:w="2977" w:type="dxa"/>
            <w:vAlign w:val="center"/>
          </w:tcPr>
          <w:p>
            <w:pPr>
              <w:spacing w:line="240" w:lineRule="auto"/>
              <w:rPr>
                <w:rFonts w:ascii="宋体" w:hAnsi="宋体"/>
                <w:sz w:val="18"/>
                <w:szCs w:val="18"/>
              </w:rPr>
            </w:pPr>
            <w:r>
              <w:rPr>
                <w:rFonts w:hint="eastAsia" w:ascii="宋体" w:hAnsi="宋体"/>
                <w:sz w:val="18"/>
                <w:szCs w:val="18"/>
              </w:rPr>
              <w:t>喷水灭火系统管道试水试压方案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2" w:type="dxa"/>
            <w:vAlign w:val="center"/>
          </w:tcPr>
          <w:p>
            <w:pPr>
              <w:spacing w:line="276" w:lineRule="auto"/>
              <w:jc w:val="center"/>
              <w:rPr>
                <w:rFonts w:ascii="宋体" w:hAnsi="宋体" w:cs="宋体"/>
                <w:kern w:val="0"/>
                <w:sz w:val="18"/>
                <w:szCs w:val="18"/>
              </w:rPr>
            </w:pPr>
            <w:r>
              <w:rPr>
                <w:rFonts w:hint="eastAsia" w:ascii="宋体" w:hAnsi="宋体" w:cs="宋体"/>
                <w:kern w:val="0"/>
                <w:sz w:val="18"/>
                <w:szCs w:val="18"/>
              </w:rPr>
              <w:t>4</w:t>
            </w:r>
            <w:r>
              <w:rPr>
                <w:rFonts w:ascii="宋体" w:hAnsi="宋体" w:cs="宋体"/>
                <w:kern w:val="0"/>
                <w:sz w:val="18"/>
                <w:szCs w:val="18"/>
              </w:rPr>
              <w:t>5</w:t>
            </w:r>
          </w:p>
        </w:tc>
        <w:tc>
          <w:tcPr>
            <w:tcW w:w="886" w:type="dxa"/>
            <w:vMerge w:val="continue"/>
            <w:vAlign w:val="center"/>
          </w:tcPr>
          <w:p>
            <w:pPr>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弱电（含安防）工程绝缘测试方案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32" w:type="dxa"/>
            <w:vAlign w:val="center"/>
          </w:tcPr>
          <w:p>
            <w:pPr>
              <w:spacing w:line="276" w:lineRule="auto"/>
              <w:jc w:val="center"/>
              <w:rPr>
                <w:rFonts w:ascii="宋体" w:hAnsi="宋体" w:cs="宋体"/>
                <w:kern w:val="0"/>
                <w:sz w:val="18"/>
                <w:szCs w:val="18"/>
              </w:rPr>
            </w:pPr>
            <w:r>
              <w:rPr>
                <w:rFonts w:hint="eastAsia" w:ascii="宋体" w:hAnsi="宋体" w:cs="宋体"/>
                <w:kern w:val="0"/>
                <w:sz w:val="18"/>
                <w:szCs w:val="18"/>
              </w:rPr>
              <w:t>4</w:t>
            </w:r>
            <w:r>
              <w:rPr>
                <w:rFonts w:ascii="宋体" w:hAnsi="宋体" w:cs="宋体"/>
                <w:kern w:val="0"/>
                <w:sz w:val="18"/>
                <w:szCs w:val="18"/>
              </w:rPr>
              <w:t>6</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电气工程通电调试方案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4</w:t>
            </w:r>
            <w:r>
              <w:rPr>
                <w:rFonts w:ascii="宋体" w:hAnsi="宋体" w:cs="宋体"/>
                <w:kern w:val="0"/>
                <w:sz w:val="18"/>
                <w:szCs w:val="18"/>
              </w:rPr>
              <w:t>7</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电气工程系统调试方案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4</w:t>
            </w:r>
            <w:r>
              <w:rPr>
                <w:rFonts w:ascii="宋体" w:hAnsi="宋体" w:cs="宋体"/>
                <w:kern w:val="0"/>
                <w:sz w:val="18"/>
                <w:szCs w:val="18"/>
              </w:rPr>
              <w:t>8</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给排水工程单机试运转方案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4</w:t>
            </w:r>
            <w:r>
              <w:rPr>
                <w:rFonts w:ascii="宋体" w:hAnsi="宋体" w:cs="宋体"/>
                <w:kern w:val="0"/>
                <w:sz w:val="18"/>
                <w:szCs w:val="18"/>
              </w:rPr>
              <w:t>9</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通风工程单机试运转方案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532" w:type="dxa"/>
            <w:vAlign w:val="center"/>
          </w:tcPr>
          <w:p>
            <w:pPr>
              <w:widowControl/>
              <w:spacing w:line="276" w:lineRule="auto"/>
              <w:jc w:val="center"/>
              <w:rPr>
                <w:rFonts w:ascii="宋体" w:hAnsi="宋体" w:cs="宋体"/>
                <w:kern w:val="0"/>
                <w:sz w:val="18"/>
                <w:szCs w:val="18"/>
              </w:rPr>
            </w:pPr>
            <w:r>
              <w:rPr>
                <w:rFonts w:ascii="宋体" w:hAnsi="宋体" w:cs="宋体"/>
                <w:kern w:val="0"/>
                <w:sz w:val="18"/>
                <w:szCs w:val="18"/>
              </w:rPr>
              <w:t>50</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给水工程管道冲洗、送水方案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5</w:t>
            </w:r>
            <w:r>
              <w:rPr>
                <w:rFonts w:ascii="宋体" w:hAnsi="宋体" w:cs="宋体"/>
                <w:kern w:val="0"/>
                <w:sz w:val="18"/>
                <w:szCs w:val="18"/>
              </w:rPr>
              <w:t>1</w:t>
            </w:r>
          </w:p>
        </w:tc>
        <w:tc>
          <w:tcPr>
            <w:tcW w:w="886" w:type="dxa"/>
            <w:vMerge w:val="continue"/>
            <w:vAlign w:val="center"/>
          </w:tcPr>
          <w:p>
            <w:pPr>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排水工程管道通球试验方案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532" w:type="dxa"/>
            <w:vAlign w:val="center"/>
          </w:tcPr>
          <w:p>
            <w:pPr>
              <w:spacing w:line="276" w:lineRule="auto"/>
              <w:jc w:val="center"/>
              <w:rPr>
                <w:rFonts w:ascii="宋体" w:hAnsi="宋体" w:cs="宋体"/>
                <w:kern w:val="0"/>
                <w:sz w:val="18"/>
                <w:szCs w:val="18"/>
              </w:rPr>
            </w:pPr>
            <w:r>
              <w:rPr>
                <w:rFonts w:hint="eastAsia" w:ascii="宋体" w:hAnsi="宋体" w:cs="宋体"/>
                <w:kern w:val="0"/>
                <w:sz w:val="18"/>
                <w:szCs w:val="18"/>
              </w:rPr>
              <w:t>5</w:t>
            </w:r>
            <w:r>
              <w:rPr>
                <w:rFonts w:ascii="宋体" w:hAnsi="宋体" w:cs="宋体"/>
                <w:kern w:val="0"/>
                <w:sz w:val="18"/>
                <w:szCs w:val="18"/>
              </w:rPr>
              <w:t>2</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通风工程风管漏光检测方案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5</w:t>
            </w:r>
            <w:r>
              <w:rPr>
                <w:rFonts w:ascii="宋体" w:hAnsi="宋体" w:cs="宋体"/>
                <w:kern w:val="0"/>
                <w:sz w:val="18"/>
                <w:szCs w:val="18"/>
              </w:rPr>
              <w:t>3</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通风工程风量、风压测试方案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5</w:t>
            </w:r>
            <w:r>
              <w:rPr>
                <w:rFonts w:ascii="宋体" w:hAnsi="宋体" w:cs="宋体"/>
                <w:kern w:val="0"/>
                <w:sz w:val="18"/>
                <w:szCs w:val="18"/>
              </w:rPr>
              <w:t>4</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消防自动报警系统调试方案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5</w:t>
            </w:r>
            <w:r>
              <w:rPr>
                <w:rFonts w:ascii="宋体" w:hAnsi="宋体" w:cs="宋体"/>
                <w:kern w:val="0"/>
                <w:sz w:val="18"/>
                <w:szCs w:val="18"/>
              </w:rPr>
              <w:t>5</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给排水工程系统调试方案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532" w:type="dxa"/>
            <w:vAlign w:val="center"/>
          </w:tcPr>
          <w:p>
            <w:pPr>
              <w:widowControl/>
              <w:spacing w:line="276" w:lineRule="auto"/>
              <w:jc w:val="center"/>
              <w:rPr>
                <w:rFonts w:ascii="宋体" w:hAnsi="宋体" w:cs="宋体"/>
                <w:kern w:val="0"/>
                <w:sz w:val="18"/>
                <w:szCs w:val="18"/>
              </w:rPr>
            </w:pPr>
            <w:r>
              <w:rPr>
                <w:rFonts w:ascii="宋体" w:hAnsi="宋体" w:cs="宋体"/>
                <w:kern w:val="0"/>
                <w:sz w:val="18"/>
                <w:szCs w:val="18"/>
              </w:rPr>
              <w:t>56</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cs="宋体"/>
                <w:kern w:val="0"/>
                <w:sz w:val="18"/>
                <w:szCs w:val="18"/>
              </w:rPr>
            </w:pPr>
            <w:r>
              <w:rPr>
                <w:rFonts w:hint="eastAsia" w:ascii="宋体" w:hAnsi="宋体"/>
                <w:sz w:val="18"/>
                <w:szCs w:val="18"/>
              </w:rPr>
              <w:t>通风工程系统调试方案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5</w:t>
            </w:r>
            <w:r>
              <w:rPr>
                <w:rFonts w:ascii="宋体" w:hAnsi="宋体" w:cs="宋体"/>
                <w:kern w:val="0"/>
                <w:sz w:val="18"/>
                <w:szCs w:val="18"/>
              </w:rPr>
              <w:t>7</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Align w:val="center"/>
          </w:tcPr>
          <w:p>
            <w:pPr>
              <w:spacing w:line="276" w:lineRule="auto"/>
              <w:rPr>
                <w:rFonts w:ascii="宋体" w:hAnsi="宋体"/>
                <w:sz w:val="18"/>
                <w:szCs w:val="18"/>
              </w:rPr>
            </w:pPr>
            <w:r>
              <w:rPr>
                <w:rFonts w:hint="eastAsia" w:ascii="宋体" w:hAnsi="宋体"/>
                <w:sz w:val="18"/>
                <w:szCs w:val="18"/>
              </w:rPr>
              <w:t>消防工程联动统调试方案</w:t>
            </w:r>
          </w:p>
        </w:tc>
        <w:tc>
          <w:tcPr>
            <w:tcW w:w="2976" w:type="dxa"/>
            <w:vAlign w:val="center"/>
          </w:tcPr>
          <w:p>
            <w:pPr>
              <w:widowControl/>
              <w:spacing w:line="276" w:lineRule="auto"/>
              <w:rPr>
                <w:rFonts w:ascii="宋体" w:hAnsi="宋体" w:cs="宋体"/>
                <w:kern w:val="0"/>
                <w:sz w:val="18"/>
                <w:szCs w:val="18"/>
              </w:rPr>
            </w:pPr>
          </w:p>
        </w:tc>
        <w:tc>
          <w:tcPr>
            <w:tcW w:w="709" w:type="dxa"/>
            <w:vAlign w:val="center"/>
          </w:tcPr>
          <w:p>
            <w:pPr>
              <w:spacing w:line="276" w:lineRule="auto"/>
              <w:jc w:val="center"/>
              <w:rPr>
                <w:rFonts w:ascii="宋体" w:hAnsi="宋体"/>
                <w:sz w:val="18"/>
                <w:szCs w:val="18"/>
              </w:rPr>
            </w:pPr>
            <w:r>
              <w:rPr>
                <w:rFonts w:hint="eastAsia" w:ascii="宋体" w:hAnsi="宋体" w:cs="宋体"/>
                <w:kern w:val="0"/>
                <w:sz w:val="18"/>
                <w:szCs w:val="18"/>
              </w:rPr>
              <w:t>★</w:t>
            </w:r>
          </w:p>
        </w:tc>
        <w:tc>
          <w:tcPr>
            <w:tcW w:w="992" w:type="dxa"/>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5</w:t>
            </w:r>
            <w:r>
              <w:rPr>
                <w:rFonts w:ascii="宋体" w:hAnsi="宋体" w:cs="宋体"/>
                <w:kern w:val="0"/>
                <w:sz w:val="18"/>
                <w:szCs w:val="18"/>
              </w:rPr>
              <w:t>8</w:t>
            </w:r>
          </w:p>
        </w:tc>
        <w:tc>
          <w:tcPr>
            <w:tcW w:w="886" w:type="dxa"/>
            <w:vMerge w:val="restart"/>
            <w:vAlign w:val="center"/>
          </w:tcPr>
          <w:p>
            <w:pPr>
              <w:widowControl/>
              <w:spacing w:line="276" w:lineRule="auto"/>
              <w:jc w:val="center"/>
              <w:rPr>
                <w:rFonts w:ascii="宋体" w:hAnsi="宋体" w:cs="宋体"/>
                <w:b/>
                <w:kern w:val="0"/>
                <w:sz w:val="18"/>
                <w:szCs w:val="18"/>
              </w:rPr>
            </w:pPr>
            <w:r>
              <w:rPr>
                <w:rFonts w:hint="eastAsia" w:ascii="宋体" w:hAnsi="宋体" w:cs="宋体"/>
                <w:b/>
                <w:kern w:val="0"/>
                <w:sz w:val="18"/>
                <w:szCs w:val="18"/>
              </w:rPr>
              <w:t>精装修工程（待定）</w:t>
            </w:r>
          </w:p>
        </w:tc>
        <w:tc>
          <w:tcPr>
            <w:tcW w:w="2977" w:type="dxa"/>
            <w:vMerge w:val="restart"/>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公区精装修施工方案</w:t>
            </w: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样板引路施工方案。</w:t>
            </w:r>
          </w:p>
        </w:tc>
        <w:tc>
          <w:tcPr>
            <w:tcW w:w="709" w:type="dxa"/>
            <w:vMerge w:val="restart"/>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c>
          <w:tcPr>
            <w:tcW w:w="992" w:type="dxa"/>
            <w:vMerge w:val="restart"/>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32" w:type="dxa"/>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5</w:t>
            </w:r>
            <w:r>
              <w:rPr>
                <w:rFonts w:ascii="宋体" w:hAnsi="宋体" w:cs="宋体"/>
                <w:kern w:val="0"/>
                <w:sz w:val="18"/>
                <w:szCs w:val="18"/>
              </w:rPr>
              <w:t>9</w:t>
            </w:r>
          </w:p>
        </w:tc>
        <w:tc>
          <w:tcPr>
            <w:tcW w:w="886" w:type="dxa"/>
            <w:vMerge w:val="continue"/>
            <w:vAlign w:val="center"/>
          </w:tcPr>
          <w:p>
            <w:pPr>
              <w:widowControl/>
              <w:spacing w:line="276" w:lineRule="auto"/>
              <w:jc w:val="center"/>
              <w:rPr>
                <w:rFonts w:ascii="宋体" w:hAnsi="宋体" w:cs="宋体"/>
                <w:b/>
                <w:kern w:val="0"/>
                <w:sz w:val="18"/>
                <w:szCs w:val="18"/>
              </w:rPr>
            </w:pPr>
          </w:p>
        </w:tc>
        <w:tc>
          <w:tcPr>
            <w:tcW w:w="2977" w:type="dxa"/>
            <w:vMerge w:val="continue"/>
            <w:vAlign w:val="center"/>
          </w:tcPr>
          <w:p>
            <w:pPr>
              <w:widowControl/>
              <w:spacing w:line="276" w:lineRule="auto"/>
              <w:rPr>
                <w:rFonts w:ascii="宋体" w:hAnsi="宋体" w:cs="宋体"/>
                <w:kern w:val="0"/>
                <w:sz w:val="18"/>
                <w:szCs w:val="18"/>
              </w:rPr>
            </w:pP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石材防水处理方案。</w:t>
            </w:r>
          </w:p>
        </w:tc>
        <w:tc>
          <w:tcPr>
            <w:tcW w:w="709" w:type="dxa"/>
            <w:vMerge w:val="continue"/>
            <w:vAlign w:val="center"/>
          </w:tcPr>
          <w:p>
            <w:pPr>
              <w:widowControl/>
              <w:spacing w:line="276" w:lineRule="auto"/>
              <w:jc w:val="center"/>
              <w:rPr>
                <w:rFonts w:ascii="宋体" w:hAnsi="宋体" w:cs="宋体"/>
                <w:kern w:val="0"/>
                <w:sz w:val="18"/>
                <w:szCs w:val="18"/>
              </w:rPr>
            </w:pPr>
          </w:p>
        </w:tc>
        <w:tc>
          <w:tcPr>
            <w:tcW w:w="992" w:type="dxa"/>
            <w:vMerge w:val="continue"/>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32" w:type="dxa"/>
            <w:vAlign w:val="center"/>
          </w:tcPr>
          <w:p>
            <w:pPr>
              <w:spacing w:line="276" w:lineRule="auto"/>
              <w:jc w:val="center"/>
              <w:rPr>
                <w:rFonts w:ascii="宋体" w:hAnsi="宋体" w:cs="宋体"/>
                <w:kern w:val="0"/>
                <w:sz w:val="18"/>
                <w:szCs w:val="18"/>
              </w:rPr>
            </w:pPr>
            <w:r>
              <w:rPr>
                <w:rFonts w:hint="eastAsia" w:ascii="宋体" w:hAnsi="宋体" w:cs="宋体"/>
                <w:kern w:val="0"/>
                <w:sz w:val="18"/>
                <w:szCs w:val="18"/>
              </w:rPr>
              <w:t>6</w:t>
            </w:r>
            <w:r>
              <w:rPr>
                <w:rFonts w:ascii="宋体" w:hAnsi="宋体" w:cs="宋体"/>
                <w:kern w:val="0"/>
                <w:sz w:val="18"/>
                <w:szCs w:val="18"/>
              </w:rPr>
              <w:t>0</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Merge w:val="continue"/>
            <w:vAlign w:val="center"/>
          </w:tcPr>
          <w:p>
            <w:pPr>
              <w:widowControl/>
              <w:spacing w:line="276" w:lineRule="auto"/>
              <w:rPr>
                <w:rFonts w:ascii="宋体" w:hAnsi="宋体" w:cs="宋体"/>
                <w:kern w:val="0"/>
                <w:sz w:val="18"/>
                <w:szCs w:val="18"/>
              </w:rPr>
            </w:pP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墙、地铺装排版方案。</w:t>
            </w:r>
          </w:p>
        </w:tc>
        <w:tc>
          <w:tcPr>
            <w:tcW w:w="709" w:type="dxa"/>
            <w:vMerge w:val="continue"/>
            <w:vAlign w:val="center"/>
          </w:tcPr>
          <w:p>
            <w:pPr>
              <w:widowControl/>
              <w:spacing w:line="276" w:lineRule="auto"/>
              <w:jc w:val="center"/>
              <w:rPr>
                <w:rFonts w:ascii="宋体" w:hAnsi="宋体" w:cs="宋体"/>
                <w:kern w:val="0"/>
                <w:sz w:val="18"/>
                <w:szCs w:val="18"/>
              </w:rPr>
            </w:pPr>
          </w:p>
        </w:tc>
        <w:tc>
          <w:tcPr>
            <w:tcW w:w="992" w:type="dxa"/>
            <w:vMerge w:val="continue"/>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532" w:type="dxa"/>
            <w:vAlign w:val="center"/>
          </w:tcPr>
          <w:p>
            <w:pPr>
              <w:spacing w:line="276" w:lineRule="auto"/>
              <w:jc w:val="center"/>
              <w:rPr>
                <w:rFonts w:ascii="宋体" w:hAnsi="宋体" w:cs="宋体"/>
                <w:kern w:val="0"/>
                <w:sz w:val="18"/>
                <w:szCs w:val="18"/>
              </w:rPr>
            </w:pPr>
            <w:r>
              <w:rPr>
                <w:rFonts w:hint="eastAsia" w:ascii="宋体" w:hAnsi="宋体" w:cs="宋体"/>
                <w:kern w:val="0"/>
                <w:sz w:val="18"/>
                <w:szCs w:val="18"/>
              </w:rPr>
              <w:t>6</w:t>
            </w:r>
            <w:r>
              <w:rPr>
                <w:rFonts w:ascii="宋体" w:hAnsi="宋体" w:cs="宋体"/>
                <w:kern w:val="0"/>
                <w:sz w:val="18"/>
                <w:szCs w:val="18"/>
              </w:rPr>
              <w:t>1</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Merge w:val="continue"/>
            <w:vAlign w:val="center"/>
          </w:tcPr>
          <w:p>
            <w:pPr>
              <w:widowControl/>
              <w:spacing w:line="276" w:lineRule="auto"/>
              <w:rPr>
                <w:rFonts w:ascii="宋体" w:hAnsi="宋体" w:cs="宋体"/>
                <w:kern w:val="0"/>
                <w:sz w:val="18"/>
                <w:szCs w:val="18"/>
              </w:rPr>
            </w:pP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不同材料交接处处理方案。</w:t>
            </w:r>
          </w:p>
        </w:tc>
        <w:tc>
          <w:tcPr>
            <w:tcW w:w="709" w:type="dxa"/>
            <w:vMerge w:val="continue"/>
            <w:vAlign w:val="center"/>
          </w:tcPr>
          <w:p>
            <w:pPr>
              <w:widowControl/>
              <w:spacing w:line="276" w:lineRule="auto"/>
              <w:jc w:val="center"/>
              <w:rPr>
                <w:rFonts w:ascii="宋体" w:hAnsi="宋体" w:cs="宋体"/>
                <w:kern w:val="0"/>
                <w:sz w:val="18"/>
                <w:szCs w:val="18"/>
              </w:rPr>
            </w:pPr>
          </w:p>
        </w:tc>
        <w:tc>
          <w:tcPr>
            <w:tcW w:w="992" w:type="dxa"/>
            <w:vMerge w:val="continue"/>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2" w:type="dxa"/>
            <w:vAlign w:val="center"/>
          </w:tcPr>
          <w:p>
            <w:pPr>
              <w:spacing w:line="276" w:lineRule="auto"/>
              <w:jc w:val="center"/>
              <w:rPr>
                <w:rFonts w:ascii="宋体" w:hAnsi="宋体" w:cs="宋体"/>
                <w:kern w:val="0"/>
                <w:sz w:val="18"/>
                <w:szCs w:val="18"/>
              </w:rPr>
            </w:pPr>
            <w:r>
              <w:rPr>
                <w:rFonts w:hint="eastAsia" w:ascii="宋体" w:hAnsi="宋体" w:cs="宋体"/>
                <w:kern w:val="0"/>
                <w:sz w:val="18"/>
                <w:szCs w:val="18"/>
              </w:rPr>
              <w:t>6</w:t>
            </w:r>
            <w:r>
              <w:rPr>
                <w:rFonts w:ascii="宋体" w:hAnsi="宋体" w:cs="宋体"/>
                <w:kern w:val="0"/>
                <w:sz w:val="18"/>
                <w:szCs w:val="18"/>
              </w:rPr>
              <w:t>2</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Merge w:val="continue"/>
            <w:vAlign w:val="center"/>
          </w:tcPr>
          <w:p>
            <w:pPr>
              <w:widowControl/>
              <w:spacing w:line="276" w:lineRule="auto"/>
              <w:rPr>
                <w:rFonts w:ascii="宋体" w:hAnsi="宋体" w:cs="宋体"/>
                <w:kern w:val="0"/>
                <w:sz w:val="18"/>
                <w:szCs w:val="18"/>
              </w:rPr>
            </w:pP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不同专业施工的配合方案。</w:t>
            </w:r>
          </w:p>
        </w:tc>
        <w:tc>
          <w:tcPr>
            <w:tcW w:w="709" w:type="dxa"/>
            <w:vMerge w:val="continue"/>
            <w:vAlign w:val="center"/>
          </w:tcPr>
          <w:p>
            <w:pPr>
              <w:widowControl/>
              <w:spacing w:line="276" w:lineRule="auto"/>
              <w:jc w:val="center"/>
              <w:rPr>
                <w:rFonts w:ascii="宋体" w:hAnsi="宋体" w:cs="宋体"/>
                <w:kern w:val="0"/>
                <w:sz w:val="18"/>
                <w:szCs w:val="18"/>
              </w:rPr>
            </w:pPr>
          </w:p>
        </w:tc>
        <w:tc>
          <w:tcPr>
            <w:tcW w:w="992" w:type="dxa"/>
            <w:vMerge w:val="continue"/>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32" w:type="dxa"/>
            <w:vAlign w:val="center"/>
          </w:tcPr>
          <w:p>
            <w:pPr>
              <w:spacing w:line="276" w:lineRule="auto"/>
              <w:jc w:val="center"/>
              <w:rPr>
                <w:rFonts w:ascii="宋体" w:hAnsi="宋体" w:cs="宋体"/>
                <w:kern w:val="0"/>
                <w:sz w:val="18"/>
                <w:szCs w:val="18"/>
              </w:rPr>
            </w:pPr>
            <w:r>
              <w:rPr>
                <w:rFonts w:ascii="宋体" w:hAnsi="宋体" w:cs="宋体"/>
                <w:kern w:val="0"/>
                <w:sz w:val="18"/>
                <w:szCs w:val="18"/>
              </w:rPr>
              <w:t>63</w:t>
            </w:r>
          </w:p>
        </w:tc>
        <w:tc>
          <w:tcPr>
            <w:tcW w:w="886" w:type="dxa"/>
            <w:vMerge w:val="continue"/>
            <w:vAlign w:val="center"/>
          </w:tcPr>
          <w:p>
            <w:pPr>
              <w:spacing w:line="276" w:lineRule="auto"/>
              <w:jc w:val="center"/>
              <w:rPr>
                <w:rFonts w:ascii="宋体" w:hAnsi="宋体" w:cs="宋体"/>
                <w:kern w:val="0"/>
                <w:sz w:val="18"/>
                <w:szCs w:val="18"/>
              </w:rPr>
            </w:pPr>
          </w:p>
        </w:tc>
        <w:tc>
          <w:tcPr>
            <w:tcW w:w="2977" w:type="dxa"/>
            <w:vMerge w:val="continue"/>
            <w:vAlign w:val="center"/>
          </w:tcPr>
          <w:p>
            <w:pPr>
              <w:spacing w:line="276" w:lineRule="auto"/>
              <w:rPr>
                <w:rFonts w:ascii="宋体" w:hAnsi="宋体" w:cs="宋体"/>
                <w:kern w:val="0"/>
                <w:sz w:val="18"/>
                <w:szCs w:val="18"/>
              </w:rPr>
            </w:pP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防渗漏施工方案。</w:t>
            </w:r>
          </w:p>
        </w:tc>
        <w:tc>
          <w:tcPr>
            <w:tcW w:w="709" w:type="dxa"/>
            <w:vMerge w:val="continue"/>
            <w:vAlign w:val="center"/>
          </w:tcPr>
          <w:p>
            <w:pPr>
              <w:spacing w:line="276" w:lineRule="auto"/>
              <w:jc w:val="center"/>
              <w:rPr>
                <w:rFonts w:ascii="宋体" w:hAnsi="宋体" w:cs="宋体"/>
                <w:kern w:val="0"/>
                <w:sz w:val="18"/>
                <w:szCs w:val="18"/>
              </w:rPr>
            </w:pPr>
          </w:p>
        </w:tc>
        <w:tc>
          <w:tcPr>
            <w:tcW w:w="992" w:type="dxa"/>
            <w:vMerge w:val="continue"/>
            <w:vAlign w:val="center"/>
          </w:tcPr>
          <w:p>
            <w:pPr>
              <w:widowControl/>
              <w:spacing w:line="276"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532" w:type="dxa"/>
            <w:vAlign w:val="center"/>
          </w:tcPr>
          <w:p>
            <w:pPr>
              <w:spacing w:line="276" w:lineRule="auto"/>
              <w:jc w:val="center"/>
              <w:rPr>
                <w:rFonts w:ascii="宋体" w:hAnsi="宋体" w:cs="宋体"/>
                <w:kern w:val="0"/>
                <w:sz w:val="18"/>
                <w:szCs w:val="18"/>
              </w:rPr>
            </w:pPr>
            <w:r>
              <w:rPr>
                <w:rFonts w:hint="eastAsia" w:ascii="宋体" w:hAnsi="宋体" w:cs="宋体"/>
                <w:kern w:val="0"/>
                <w:sz w:val="18"/>
                <w:szCs w:val="18"/>
              </w:rPr>
              <w:t>6</w:t>
            </w:r>
            <w:r>
              <w:rPr>
                <w:rFonts w:ascii="宋体" w:hAnsi="宋体" w:cs="宋体"/>
                <w:kern w:val="0"/>
                <w:sz w:val="18"/>
                <w:szCs w:val="18"/>
              </w:rPr>
              <w:t>4</w:t>
            </w:r>
          </w:p>
        </w:tc>
        <w:tc>
          <w:tcPr>
            <w:tcW w:w="886" w:type="dxa"/>
            <w:vMerge w:val="continue"/>
            <w:vAlign w:val="center"/>
          </w:tcPr>
          <w:p>
            <w:pPr>
              <w:widowControl/>
              <w:spacing w:line="276" w:lineRule="auto"/>
              <w:jc w:val="center"/>
              <w:rPr>
                <w:rFonts w:ascii="宋体" w:hAnsi="宋体" w:cs="宋体"/>
                <w:kern w:val="0"/>
                <w:sz w:val="18"/>
                <w:szCs w:val="18"/>
              </w:rPr>
            </w:pPr>
          </w:p>
        </w:tc>
        <w:tc>
          <w:tcPr>
            <w:tcW w:w="2977" w:type="dxa"/>
            <w:vMerge w:val="continue"/>
            <w:vAlign w:val="center"/>
          </w:tcPr>
          <w:p>
            <w:pPr>
              <w:widowControl/>
              <w:spacing w:line="276" w:lineRule="auto"/>
              <w:rPr>
                <w:rFonts w:ascii="宋体" w:hAnsi="宋体" w:cs="宋体"/>
                <w:kern w:val="0"/>
                <w:sz w:val="18"/>
                <w:szCs w:val="18"/>
              </w:rPr>
            </w:pPr>
          </w:p>
        </w:tc>
        <w:tc>
          <w:tcPr>
            <w:tcW w:w="2976" w:type="dxa"/>
            <w:vAlign w:val="center"/>
          </w:tcPr>
          <w:p>
            <w:pPr>
              <w:widowControl/>
              <w:spacing w:line="276" w:lineRule="auto"/>
              <w:rPr>
                <w:rFonts w:ascii="宋体" w:hAnsi="宋体" w:cs="宋体"/>
                <w:kern w:val="0"/>
                <w:sz w:val="18"/>
                <w:szCs w:val="18"/>
              </w:rPr>
            </w:pPr>
            <w:r>
              <w:rPr>
                <w:rFonts w:hint="eastAsia" w:ascii="宋体" w:hAnsi="宋体" w:cs="宋体"/>
                <w:kern w:val="0"/>
                <w:sz w:val="18"/>
                <w:szCs w:val="18"/>
              </w:rPr>
              <w:t>墙、地、天花、电气、洁具等施工方案。</w:t>
            </w:r>
          </w:p>
        </w:tc>
        <w:tc>
          <w:tcPr>
            <w:tcW w:w="709" w:type="dxa"/>
            <w:vMerge w:val="continue"/>
            <w:vAlign w:val="center"/>
          </w:tcPr>
          <w:p>
            <w:pPr>
              <w:widowControl/>
              <w:spacing w:line="276" w:lineRule="auto"/>
              <w:jc w:val="center"/>
              <w:rPr>
                <w:rFonts w:ascii="宋体" w:hAnsi="宋体" w:cs="宋体"/>
                <w:kern w:val="0"/>
                <w:sz w:val="18"/>
                <w:szCs w:val="18"/>
              </w:rPr>
            </w:pPr>
          </w:p>
        </w:tc>
        <w:tc>
          <w:tcPr>
            <w:tcW w:w="992" w:type="dxa"/>
            <w:vMerge w:val="continue"/>
            <w:vAlign w:val="center"/>
          </w:tcPr>
          <w:p>
            <w:pPr>
              <w:widowControl/>
              <w:spacing w:line="276" w:lineRule="auto"/>
              <w:jc w:val="center"/>
              <w:rPr>
                <w:rFonts w:ascii="宋体" w:hAnsi="宋体" w:cs="宋体"/>
                <w:kern w:val="0"/>
                <w:sz w:val="18"/>
                <w:szCs w:val="18"/>
              </w:rPr>
            </w:pPr>
          </w:p>
        </w:tc>
      </w:tr>
    </w:tbl>
    <w:p>
      <w:pPr>
        <w:pStyle w:val="3"/>
        <w:spacing w:before="0" w:after="0" w:line="276" w:lineRule="auto"/>
        <w:ind w:firstLine="413" w:firstLineChars="196"/>
        <w:rPr>
          <w:rFonts w:ascii="宋体" w:hAnsi="宋体"/>
          <w:sz w:val="21"/>
          <w:szCs w:val="21"/>
        </w:rPr>
      </w:pPr>
      <w:bookmarkStart w:id="169" w:name="_Toc405535560"/>
      <w:bookmarkStart w:id="170" w:name="_Toc144459644"/>
      <w:r>
        <w:rPr>
          <w:rFonts w:hint="eastAsia" w:ascii="宋体" w:hAnsi="宋体"/>
          <w:sz w:val="21"/>
          <w:szCs w:val="21"/>
        </w:rPr>
        <w:t>8.3  施工样板管理制度</w:t>
      </w:r>
      <w:bookmarkEnd w:id="169"/>
      <w:bookmarkEnd w:id="170"/>
    </w:p>
    <w:p>
      <w:pPr>
        <w:spacing w:line="276" w:lineRule="auto"/>
        <w:ind w:firstLine="420" w:firstLineChars="200"/>
        <w:rPr>
          <w:rFonts w:ascii="宋体" w:hAnsi="宋体"/>
        </w:rPr>
      </w:pPr>
      <w:r>
        <w:rPr>
          <w:rFonts w:hint="eastAsia" w:ascii="宋体" w:hAnsi="宋体"/>
        </w:rPr>
        <w:t>承包人在施工中必须遵守发包人制订的“样板引路”制度，在承包人进场前报送的实施性施工组织设计中，必须包括施工样板引路实施方案，明确施工样板清单，施工样板引路实施方案经审批同意后方可实施，现场施工样板经监理、发包人确认后方可大面积开展。施工样板引路的工序清单，分为由监理组织验收的施工样板和由业主方组织验收的施工样板，具体如下。</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776"/>
        <w:gridCol w:w="3297"/>
        <w:gridCol w:w="3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797" w:type="pct"/>
            <w:shd w:val="clear" w:color="auto" w:fill="C0C0C0"/>
            <w:vAlign w:val="center"/>
          </w:tcPr>
          <w:p>
            <w:pPr>
              <w:jc w:val="center"/>
              <w:rPr>
                <w:rFonts w:ascii="宋体" w:hAnsi="宋体" w:cs="宋体"/>
                <w:b/>
                <w:sz w:val="18"/>
                <w:szCs w:val="18"/>
              </w:rPr>
            </w:pPr>
            <w:bookmarkStart w:id="171" w:name="_Toc405535563"/>
            <w:r>
              <w:rPr>
                <w:rFonts w:hint="eastAsia" w:ascii="宋体" w:hAnsi="宋体" w:cs="宋体"/>
                <w:b/>
                <w:sz w:val="18"/>
                <w:szCs w:val="18"/>
              </w:rPr>
              <w:t>分部分项工程</w:t>
            </w:r>
          </w:p>
        </w:tc>
        <w:tc>
          <w:tcPr>
            <w:tcW w:w="418" w:type="pct"/>
            <w:shd w:val="clear" w:color="auto" w:fill="C0C0C0"/>
            <w:vAlign w:val="center"/>
          </w:tcPr>
          <w:p>
            <w:pPr>
              <w:jc w:val="center"/>
              <w:rPr>
                <w:rFonts w:ascii="宋体" w:hAnsi="宋体" w:cs="宋体"/>
                <w:b/>
                <w:sz w:val="18"/>
                <w:szCs w:val="18"/>
              </w:rPr>
            </w:pPr>
            <w:r>
              <w:rPr>
                <w:rFonts w:hint="eastAsia" w:ascii="宋体" w:hAnsi="宋体" w:cs="宋体"/>
                <w:b/>
                <w:sz w:val="18"/>
                <w:szCs w:val="18"/>
              </w:rPr>
              <w:t>序号</w:t>
            </w:r>
          </w:p>
        </w:tc>
        <w:tc>
          <w:tcPr>
            <w:tcW w:w="1775" w:type="pct"/>
            <w:shd w:val="clear" w:color="auto" w:fill="C0C0C0"/>
            <w:vAlign w:val="center"/>
          </w:tcPr>
          <w:p>
            <w:pPr>
              <w:jc w:val="center"/>
              <w:rPr>
                <w:rFonts w:ascii="宋体" w:hAnsi="宋体" w:cs="宋体"/>
                <w:b/>
                <w:sz w:val="18"/>
                <w:szCs w:val="18"/>
              </w:rPr>
            </w:pPr>
            <w:r>
              <w:rPr>
                <w:rFonts w:hint="eastAsia" w:ascii="宋体" w:hAnsi="宋体" w:cs="宋体"/>
                <w:b/>
                <w:sz w:val="18"/>
                <w:szCs w:val="18"/>
              </w:rPr>
              <w:t>重要工序样板名称</w:t>
            </w:r>
          </w:p>
        </w:tc>
        <w:tc>
          <w:tcPr>
            <w:tcW w:w="2010" w:type="pct"/>
            <w:shd w:val="clear" w:color="auto" w:fill="C0C0C0"/>
            <w:vAlign w:val="center"/>
          </w:tcPr>
          <w:p>
            <w:pPr>
              <w:jc w:val="center"/>
              <w:rPr>
                <w:rFonts w:ascii="宋体" w:hAnsi="宋体" w:cs="宋体"/>
                <w:b/>
                <w:sz w:val="18"/>
                <w:szCs w:val="18"/>
              </w:rPr>
            </w:pPr>
            <w:r>
              <w:rPr>
                <w:rFonts w:hint="eastAsia" w:ascii="宋体" w:hAnsi="宋体" w:cs="宋体"/>
                <w:b/>
                <w:sz w:val="18"/>
                <w:szCs w:val="18"/>
              </w:rPr>
              <w:t>验收单位/部门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restart"/>
            <w:vAlign w:val="center"/>
          </w:tcPr>
          <w:p>
            <w:pPr>
              <w:jc w:val="center"/>
              <w:rPr>
                <w:rFonts w:ascii="宋体" w:hAnsi="宋体" w:cs="宋体"/>
                <w:sz w:val="18"/>
                <w:szCs w:val="18"/>
              </w:rPr>
            </w:pPr>
            <w:r>
              <w:rPr>
                <w:rFonts w:hint="eastAsia" w:ascii="宋体" w:hAnsi="宋体" w:cs="宋体"/>
                <w:sz w:val="18"/>
                <w:szCs w:val="18"/>
              </w:rPr>
              <w:t>主体结构工程</w:t>
            </w:r>
          </w:p>
        </w:tc>
        <w:tc>
          <w:tcPr>
            <w:tcW w:w="418" w:type="pct"/>
            <w:vAlign w:val="center"/>
          </w:tcPr>
          <w:p>
            <w:pPr>
              <w:jc w:val="center"/>
              <w:rPr>
                <w:rFonts w:ascii="宋体" w:hAnsi="宋体" w:cs="宋体"/>
                <w:sz w:val="18"/>
                <w:szCs w:val="18"/>
              </w:rPr>
            </w:pPr>
            <w:r>
              <w:rPr>
                <w:rFonts w:hint="eastAsia" w:ascii="宋体" w:hAnsi="宋体" w:cs="宋体"/>
                <w:sz w:val="18"/>
                <w:szCs w:val="18"/>
              </w:rPr>
              <w:t>1</w:t>
            </w:r>
          </w:p>
        </w:tc>
        <w:tc>
          <w:tcPr>
            <w:tcW w:w="1775" w:type="pct"/>
            <w:vAlign w:val="center"/>
          </w:tcPr>
          <w:p>
            <w:pPr>
              <w:jc w:val="left"/>
              <w:rPr>
                <w:rFonts w:ascii="宋体" w:hAnsi="宋体" w:cs="宋体"/>
                <w:sz w:val="18"/>
                <w:szCs w:val="18"/>
              </w:rPr>
            </w:pPr>
            <w:r>
              <w:rPr>
                <w:rFonts w:hint="eastAsia" w:ascii="宋体" w:hAnsi="宋体" w:cs="宋体"/>
                <w:sz w:val="18"/>
                <w:szCs w:val="18"/>
              </w:rPr>
              <w:t>模板安装中支撑体系、安装和加固方法、防止胀模、漏浆的技术措施</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2</w:t>
            </w:r>
          </w:p>
        </w:tc>
        <w:tc>
          <w:tcPr>
            <w:tcW w:w="1775" w:type="pct"/>
            <w:vAlign w:val="center"/>
          </w:tcPr>
          <w:p>
            <w:pPr>
              <w:jc w:val="left"/>
              <w:rPr>
                <w:rFonts w:ascii="宋体" w:hAnsi="宋体" w:cs="宋体"/>
                <w:sz w:val="18"/>
                <w:szCs w:val="18"/>
              </w:rPr>
            </w:pPr>
            <w:r>
              <w:rPr>
                <w:rFonts w:hint="eastAsia" w:ascii="宋体" w:hAnsi="宋体" w:cs="宋体"/>
                <w:sz w:val="18"/>
                <w:szCs w:val="18"/>
              </w:rPr>
              <w:t>柱、剪力墙、梁、板、楼梯等钢筋的制作、安装、固定（含水电管线预埋）</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3</w:t>
            </w:r>
          </w:p>
        </w:tc>
        <w:tc>
          <w:tcPr>
            <w:tcW w:w="1775" w:type="pct"/>
            <w:vAlign w:val="center"/>
          </w:tcPr>
          <w:p>
            <w:pPr>
              <w:jc w:val="left"/>
              <w:rPr>
                <w:rFonts w:ascii="宋体" w:hAnsi="宋体" w:cs="宋体"/>
                <w:sz w:val="18"/>
                <w:szCs w:val="18"/>
              </w:rPr>
            </w:pPr>
            <w:r>
              <w:rPr>
                <w:rFonts w:hint="eastAsia" w:ascii="宋体" w:hAnsi="宋体" w:cs="宋体"/>
                <w:sz w:val="18"/>
                <w:szCs w:val="18"/>
              </w:rPr>
              <w:t>受力纵筋连接（焊接、机械连接等）外观质量</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4</w:t>
            </w:r>
          </w:p>
        </w:tc>
        <w:tc>
          <w:tcPr>
            <w:tcW w:w="1775" w:type="pct"/>
            <w:vAlign w:val="center"/>
          </w:tcPr>
          <w:p>
            <w:pPr>
              <w:jc w:val="left"/>
              <w:rPr>
                <w:rFonts w:ascii="宋体" w:hAnsi="宋体" w:cs="宋体"/>
                <w:sz w:val="18"/>
                <w:szCs w:val="18"/>
              </w:rPr>
            </w:pPr>
            <w:r>
              <w:rPr>
                <w:rFonts w:hint="eastAsia" w:ascii="宋体" w:hAnsi="宋体" w:cs="宋体"/>
                <w:sz w:val="18"/>
                <w:szCs w:val="18"/>
              </w:rPr>
              <w:t>楼面柱根部清除浮浆、凿毛</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5</w:t>
            </w:r>
          </w:p>
        </w:tc>
        <w:tc>
          <w:tcPr>
            <w:tcW w:w="1775" w:type="pct"/>
            <w:vAlign w:val="center"/>
          </w:tcPr>
          <w:p>
            <w:pPr>
              <w:jc w:val="left"/>
              <w:rPr>
                <w:rFonts w:ascii="宋体" w:hAnsi="宋体" w:cs="宋体"/>
                <w:sz w:val="18"/>
                <w:szCs w:val="18"/>
              </w:rPr>
            </w:pPr>
            <w:r>
              <w:rPr>
                <w:rFonts w:hint="eastAsia" w:ascii="宋体" w:hAnsi="宋体" w:cs="宋体"/>
                <w:sz w:val="18"/>
                <w:szCs w:val="18"/>
              </w:rPr>
              <w:t>混凝土导墙基层凿毛、钢筋、模板制安</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restart"/>
            <w:vAlign w:val="center"/>
          </w:tcPr>
          <w:p>
            <w:pPr>
              <w:jc w:val="center"/>
              <w:rPr>
                <w:rFonts w:ascii="宋体" w:hAnsi="宋体" w:cs="宋体"/>
                <w:sz w:val="18"/>
                <w:szCs w:val="18"/>
              </w:rPr>
            </w:pPr>
            <w:r>
              <w:rPr>
                <w:rFonts w:hint="eastAsia" w:ascii="宋体" w:hAnsi="宋体" w:cs="宋体"/>
                <w:sz w:val="18"/>
                <w:szCs w:val="18"/>
              </w:rPr>
              <w:t>防水工程</w:t>
            </w:r>
          </w:p>
        </w:tc>
        <w:tc>
          <w:tcPr>
            <w:tcW w:w="418" w:type="pct"/>
            <w:vAlign w:val="center"/>
          </w:tcPr>
          <w:p>
            <w:pPr>
              <w:jc w:val="center"/>
              <w:rPr>
                <w:rFonts w:ascii="宋体" w:hAnsi="宋体" w:cs="宋体"/>
                <w:sz w:val="18"/>
                <w:szCs w:val="18"/>
              </w:rPr>
            </w:pPr>
            <w:r>
              <w:rPr>
                <w:rFonts w:hint="eastAsia" w:ascii="宋体" w:hAnsi="宋体" w:cs="宋体"/>
                <w:sz w:val="18"/>
                <w:szCs w:val="18"/>
              </w:rPr>
              <w:t>1</w:t>
            </w:r>
          </w:p>
        </w:tc>
        <w:tc>
          <w:tcPr>
            <w:tcW w:w="1775" w:type="pct"/>
            <w:vAlign w:val="center"/>
          </w:tcPr>
          <w:p>
            <w:pPr>
              <w:jc w:val="left"/>
              <w:rPr>
                <w:rFonts w:ascii="宋体" w:hAnsi="宋体" w:cs="宋体"/>
                <w:sz w:val="18"/>
                <w:szCs w:val="18"/>
              </w:rPr>
            </w:pPr>
            <w:r>
              <w:rPr>
                <w:rFonts w:hint="eastAsia" w:ascii="宋体" w:hAnsi="宋体" w:cs="宋体"/>
                <w:sz w:val="18"/>
                <w:szCs w:val="18"/>
              </w:rPr>
              <w:t>防水基础处理、打磨</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2</w:t>
            </w:r>
          </w:p>
        </w:tc>
        <w:tc>
          <w:tcPr>
            <w:tcW w:w="1775" w:type="pct"/>
            <w:vAlign w:val="center"/>
          </w:tcPr>
          <w:p>
            <w:pPr>
              <w:jc w:val="left"/>
              <w:rPr>
                <w:rFonts w:ascii="宋体" w:hAnsi="宋体" w:cs="宋体"/>
                <w:sz w:val="18"/>
                <w:szCs w:val="18"/>
              </w:rPr>
            </w:pPr>
            <w:r>
              <w:rPr>
                <w:rFonts w:hint="eastAsia" w:ascii="宋体" w:hAnsi="宋体" w:cs="宋体"/>
                <w:sz w:val="18"/>
                <w:szCs w:val="18"/>
              </w:rPr>
              <w:t>外墙止水螺杆防水节点</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3</w:t>
            </w:r>
          </w:p>
        </w:tc>
        <w:tc>
          <w:tcPr>
            <w:tcW w:w="1775" w:type="pct"/>
            <w:vAlign w:val="center"/>
          </w:tcPr>
          <w:p>
            <w:pPr>
              <w:jc w:val="left"/>
              <w:rPr>
                <w:rFonts w:ascii="宋体" w:hAnsi="宋体" w:cs="宋体"/>
                <w:sz w:val="18"/>
                <w:szCs w:val="18"/>
              </w:rPr>
            </w:pPr>
            <w:r>
              <w:rPr>
                <w:rFonts w:hint="eastAsia" w:ascii="宋体" w:hAnsi="宋体" w:cs="宋体"/>
                <w:sz w:val="18"/>
                <w:szCs w:val="18"/>
              </w:rPr>
              <w:t xml:space="preserve">转换层卷材防水节点 </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4</w:t>
            </w:r>
          </w:p>
        </w:tc>
        <w:tc>
          <w:tcPr>
            <w:tcW w:w="1775" w:type="pct"/>
            <w:vAlign w:val="center"/>
          </w:tcPr>
          <w:p>
            <w:pPr>
              <w:jc w:val="left"/>
              <w:rPr>
                <w:rFonts w:ascii="宋体" w:hAnsi="宋体" w:cs="宋体"/>
                <w:sz w:val="18"/>
                <w:szCs w:val="18"/>
              </w:rPr>
            </w:pPr>
            <w:r>
              <w:rPr>
                <w:rFonts w:hint="eastAsia" w:ascii="宋体" w:hAnsi="宋体" w:cs="宋体"/>
                <w:sz w:val="18"/>
                <w:szCs w:val="18"/>
              </w:rPr>
              <w:t>穿墙管防水节点</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5</w:t>
            </w:r>
          </w:p>
        </w:tc>
        <w:tc>
          <w:tcPr>
            <w:tcW w:w="1775" w:type="pct"/>
            <w:vAlign w:val="center"/>
          </w:tcPr>
          <w:p>
            <w:pPr>
              <w:jc w:val="left"/>
              <w:rPr>
                <w:rFonts w:ascii="宋体" w:hAnsi="宋体" w:cs="宋体"/>
                <w:sz w:val="18"/>
                <w:szCs w:val="18"/>
              </w:rPr>
            </w:pPr>
            <w:r>
              <w:rPr>
                <w:rFonts w:hint="eastAsia" w:ascii="宋体" w:hAnsi="宋体" w:cs="宋体"/>
                <w:sz w:val="18"/>
                <w:szCs w:val="18"/>
              </w:rPr>
              <w:t>有防水要求部位反坎留设</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6</w:t>
            </w:r>
          </w:p>
        </w:tc>
        <w:tc>
          <w:tcPr>
            <w:tcW w:w="1775" w:type="pct"/>
            <w:vAlign w:val="center"/>
          </w:tcPr>
          <w:p>
            <w:pPr>
              <w:jc w:val="left"/>
              <w:rPr>
                <w:rFonts w:ascii="宋体" w:hAnsi="宋体" w:cs="宋体"/>
                <w:sz w:val="18"/>
                <w:szCs w:val="18"/>
              </w:rPr>
            </w:pPr>
            <w:r>
              <w:rPr>
                <w:rFonts w:hint="eastAsia" w:ascii="宋体" w:hAnsi="宋体" w:cs="宋体"/>
                <w:sz w:val="18"/>
                <w:szCs w:val="18"/>
              </w:rPr>
              <w:t>门窗洞口及门垛节点</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7</w:t>
            </w:r>
          </w:p>
        </w:tc>
        <w:tc>
          <w:tcPr>
            <w:tcW w:w="1775" w:type="pct"/>
            <w:vAlign w:val="center"/>
          </w:tcPr>
          <w:p>
            <w:pPr>
              <w:jc w:val="left"/>
              <w:rPr>
                <w:rFonts w:ascii="宋体" w:hAnsi="宋体" w:cs="宋体"/>
                <w:sz w:val="18"/>
                <w:szCs w:val="18"/>
              </w:rPr>
            </w:pPr>
            <w:r>
              <w:rPr>
                <w:rFonts w:hint="eastAsia" w:ascii="宋体" w:hAnsi="宋体" w:cs="宋体"/>
                <w:sz w:val="18"/>
                <w:szCs w:val="18"/>
              </w:rPr>
              <w:t>同层排水节点</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8</w:t>
            </w:r>
          </w:p>
        </w:tc>
        <w:tc>
          <w:tcPr>
            <w:tcW w:w="1775" w:type="pct"/>
            <w:vAlign w:val="center"/>
          </w:tcPr>
          <w:p>
            <w:pPr>
              <w:jc w:val="left"/>
              <w:rPr>
                <w:rFonts w:ascii="宋体" w:hAnsi="宋体" w:cs="宋体"/>
                <w:sz w:val="18"/>
                <w:szCs w:val="18"/>
              </w:rPr>
            </w:pPr>
            <w:r>
              <w:rPr>
                <w:rFonts w:hint="eastAsia" w:ascii="宋体" w:hAnsi="宋体" w:cs="宋体"/>
                <w:sz w:val="18"/>
                <w:szCs w:val="18"/>
              </w:rPr>
              <w:t>外墙螺杆洞封堵节点</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9</w:t>
            </w:r>
          </w:p>
        </w:tc>
        <w:tc>
          <w:tcPr>
            <w:tcW w:w="1775" w:type="pct"/>
            <w:vAlign w:val="center"/>
          </w:tcPr>
          <w:p>
            <w:pPr>
              <w:jc w:val="left"/>
              <w:rPr>
                <w:rFonts w:ascii="宋体" w:hAnsi="宋体" w:cs="宋体"/>
                <w:sz w:val="18"/>
                <w:szCs w:val="18"/>
              </w:rPr>
            </w:pPr>
            <w:r>
              <w:rPr>
                <w:rFonts w:hint="eastAsia" w:ascii="宋体" w:hAnsi="宋体" w:cs="宋体"/>
                <w:sz w:val="18"/>
                <w:szCs w:val="18"/>
              </w:rPr>
              <w:t>窗框安装塞缝样板、防水层样板、工序剖面</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0</w:t>
            </w:r>
          </w:p>
        </w:tc>
        <w:tc>
          <w:tcPr>
            <w:tcW w:w="1775" w:type="pct"/>
            <w:vAlign w:val="center"/>
          </w:tcPr>
          <w:p>
            <w:pPr>
              <w:jc w:val="left"/>
              <w:rPr>
                <w:rFonts w:ascii="宋体" w:hAnsi="宋体" w:cs="宋体"/>
                <w:sz w:val="18"/>
                <w:szCs w:val="18"/>
              </w:rPr>
            </w:pPr>
            <w:r>
              <w:rPr>
                <w:rFonts w:hint="eastAsia" w:ascii="宋体" w:hAnsi="宋体" w:cs="宋体"/>
                <w:sz w:val="18"/>
                <w:szCs w:val="18"/>
              </w:rPr>
              <w:t>楼层结构吊洞封堵工序节点</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1</w:t>
            </w:r>
          </w:p>
        </w:tc>
        <w:tc>
          <w:tcPr>
            <w:tcW w:w="1775" w:type="pct"/>
            <w:vAlign w:val="center"/>
          </w:tcPr>
          <w:p>
            <w:pPr>
              <w:jc w:val="left"/>
              <w:rPr>
                <w:rFonts w:ascii="宋体" w:hAnsi="宋体" w:cs="宋体"/>
                <w:sz w:val="18"/>
                <w:szCs w:val="18"/>
              </w:rPr>
            </w:pPr>
            <w:r>
              <w:rPr>
                <w:rFonts w:hint="eastAsia" w:ascii="宋体" w:hAnsi="宋体" w:cs="宋体"/>
                <w:sz w:val="18"/>
                <w:szCs w:val="18"/>
              </w:rPr>
              <w:t>户内烟道安装、封堵、防渗漏节点</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2</w:t>
            </w:r>
          </w:p>
        </w:tc>
        <w:tc>
          <w:tcPr>
            <w:tcW w:w="1775" w:type="pct"/>
            <w:vAlign w:val="center"/>
          </w:tcPr>
          <w:p>
            <w:pPr>
              <w:jc w:val="left"/>
              <w:rPr>
                <w:rFonts w:ascii="宋体" w:hAnsi="宋体" w:cs="宋体"/>
                <w:sz w:val="18"/>
                <w:szCs w:val="18"/>
              </w:rPr>
            </w:pPr>
            <w:r>
              <w:rPr>
                <w:rFonts w:hint="eastAsia" w:ascii="宋体" w:hAnsi="宋体" w:cs="宋体"/>
                <w:sz w:val="18"/>
                <w:szCs w:val="18"/>
              </w:rPr>
              <w:t>穿楼板管道周边封堵、防渗漏节点</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3</w:t>
            </w:r>
          </w:p>
        </w:tc>
        <w:tc>
          <w:tcPr>
            <w:tcW w:w="1775" w:type="pct"/>
            <w:vAlign w:val="center"/>
          </w:tcPr>
          <w:p>
            <w:pPr>
              <w:jc w:val="left"/>
              <w:rPr>
                <w:rFonts w:ascii="宋体" w:hAnsi="宋体" w:cs="宋体"/>
                <w:sz w:val="18"/>
                <w:szCs w:val="18"/>
              </w:rPr>
            </w:pPr>
            <w:r>
              <w:rPr>
                <w:rFonts w:hint="eastAsia" w:ascii="宋体" w:hAnsi="宋体" w:cs="宋体"/>
                <w:sz w:val="18"/>
                <w:szCs w:val="18"/>
              </w:rPr>
              <w:t>屋面平立面节点</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4</w:t>
            </w:r>
          </w:p>
        </w:tc>
        <w:tc>
          <w:tcPr>
            <w:tcW w:w="1775" w:type="pct"/>
            <w:vAlign w:val="center"/>
          </w:tcPr>
          <w:p>
            <w:pPr>
              <w:jc w:val="left"/>
              <w:rPr>
                <w:rFonts w:ascii="宋体" w:hAnsi="宋体" w:cs="宋体"/>
                <w:sz w:val="18"/>
                <w:szCs w:val="18"/>
              </w:rPr>
            </w:pPr>
            <w:r>
              <w:rPr>
                <w:rFonts w:hint="eastAsia" w:ascii="宋体" w:hAnsi="宋体" w:cs="宋体"/>
                <w:sz w:val="18"/>
                <w:szCs w:val="18"/>
              </w:rPr>
              <w:t>出屋面构造节点</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5</w:t>
            </w:r>
          </w:p>
        </w:tc>
        <w:tc>
          <w:tcPr>
            <w:tcW w:w="1775" w:type="pct"/>
            <w:vAlign w:val="center"/>
          </w:tcPr>
          <w:p>
            <w:pPr>
              <w:jc w:val="left"/>
              <w:rPr>
                <w:rFonts w:ascii="宋体" w:hAnsi="宋体" w:cs="宋体"/>
                <w:sz w:val="18"/>
                <w:szCs w:val="18"/>
              </w:rPr>
            </w:pPr>
            <w:r>
              <w:rPr>
                <w:rFonts w:hint="eastAsia" w:ascii="宋体" w:hAnsi="宋体" w:cs="宋体"/>
                <w:sz w:val="18"/>
                <w:szCs w:val="18"/>
              </w:rPr>
              <w:t>厨卫间、阳（露）台、外墙、管道留孔节点构造的样板，卫生间给排水支管、卫生间洁具、管井立管安装样板，且符合防渗漏节点要求</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restart"/>
            <w:vAlign w:val="center"/>
          </w:tcPr>
          <w:p>
            <w:pPr>
              <w:jc w:val="center"/>
              <w:rPr>
                <w:rFonts w:ascii="宋体" w:hAnsi="宋体" w:cs="宋体"/>
                <w:sz w:val="18"/>
                <w:szCs w:val="18"/>
              </w:rPr>
            </w:pPr>
            <w:r>
              <w:rPr>
                <w:rFonts w:hint="eastAsia" w:ascii="宋体" w:hAnsi="宋体" w:cs="宋体"/>
                <w:sz w:val="18"/>
                <w:szCs w:val="18"/>
              </w:rPr>
              <w:t>砌体工程</w:t>
            </w:r>
          </w:p>
        </w:tc>
        <w:tc>
          <w:tcPr>
            <w:tcW w:w="418" w:type="pct"/>
            <w:vAlign w:val="center"/>
          </w:tcPr>
          <w:p>
            <w:pPr>
              <w:jc w:val="center"/>
              <w:rPr>
                <w:rFonts w:ascii="宋体" w:hAnsi="宋体" w:cs="宋体"/>
                <w:sz w:val="18"/>
                <w:szCs w:val="18"/>
              </w:rPr>
            </w:pPr>
            <w:r>
              <w:rPr>
                <w:rFonts w:hint="eastAsia" w:ascii="宋体" w:hAnsi="宋体" w:cs="宋体"/>
                <w:sz w:val="18"/>
                <w:szCs w:val="18"/>
              </w:rPr>
              <w:t>1</w:t>
            </w:r>
          </w:p>
        </w:tc>
        <w:tc>
          <w:tcPr>
            <w:tcW w:w="1775" w:type="pct"/>
            <w:vAlign w:val="center"/>
          </w:tcPr>
          <w:p>
            <w:pPr>
              <w:jc w:val="left"/>
              <w:rPr>
                <w:rFonts w:ascii="宋体" w:hAnsi="宋体" w:cs="宋体"/>
                <w:sz w:val="18"/>
                <w:szCs w:val="18"/>
              </w:rPr>
            </w:pPr>
            <w:r>
              <w:rPr>
                <w:rFonts w:hint="eastAsia" w:ascii="宋体" w:hAnsi="宋体" w:cs="宋体"/>
                <w:sz w:val="18"/>
                <w:szCs w:val="18"/>
              </w:rPr>
              <w:t>有代表性的部位的砌体的砌筑方法</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2</w:t>
            </w:r>
          </w:p>
        </w:tc>
        <w:tc>
          <w:tcPr>
            <w:tcW w:w="1775" w:type="pct"/>
            <w:vAlign w:val="center"/>
          </w:tcPr>
          <w:p>
            <w:pPr>
              <w:jc w:val="left"/>
              <w:rPr>
                <w:rFonts w:ascii="宋体" w:hAnsi="宋体" w:cs="宋体"/>
                <w:sz w:val="18"/>
                <w:szCs w:val="18"/>
              </w:rPr>
            </w:pPr>
            <w:r>
              <w:rPr>
                <w:rFonts w:hint="eastAsia" w:ascii="宋体" w:hAnsi="宋体" w:cs="宋体"/>
                <w:sz w:val="18"/>
                <w:szCs w:val="18"/>
              </w:rPr>
              <w:t>填充墙底部、顶部的处理</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3</w:t>
            </w:r>
          </w:p>
        </w:tc>
        <w:tc>
          <w:tcPr>
            <w:tcW w:w="1775" w:type="pct"/>
            <w:vAlign w:val="center"/>
          </w:tcPr>
          <w:p>
            <w:pPr>
              <w:jc w:val="left"/>
              <w:rPr>
                <w:rFonts w:ascii="宋体" w:hAnsi="宋体" w:cs="宋体"/>
                <w:sz w:val="18"/>
                <w:szCs w:val="18"/>
              </w:rPr>
            </w:pPr>
            <w:r>
              <w:rPr>
                <w:rFonts w:hint="eastAsia" w:ascii="宋体" w:hAnsi="宋体" w:cs="宋体"/>
                <w:sz w:val="18"/>
                <w:szCs w:val="18"/>
              </w:rPr>
              <w:t>构造柱、圈梁、过梁的处理</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4</w:t>
            </w:r>
          </w:p>
        </w:tc>
        <w:tc>
          <w:tcPr>
            <w:tcW w:w="1775" w:type="pct"/>
            <w:vAlign w:val="center"/>
          </w:tcPr>
          <w:p>
            <w:pPr>
              <w:jc w:val="left"/>
              <w:rPr>
                <w:rFonts w:ascii="宋体" w:hAnsi="宋体" w:cs="宋体"/>
                <w:sz w:val="18"/>
                <w:szCs w:val="18"/>
              </w:rPr>
            </w:pPr>
            <w:r>
              <w:rPr>
                <w:rFonts w:hint="eastAsia" w:ascii="宋体" w:hAnsi="宋体" w:cs="宋体"/>
                <w:sz w:val="18"/>
                <w:szCs w:val="18"/>
              </w:rPr>
              <w:t>螺杆洞封堵样板</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5</w:t>
            </w:r>
          </w:p>
        </w:tc>
        <w:tc>
          <w:tcPr>
            <w:tcW w:w="1775" w:type="pct"/>
            <w:vAlign w:val="center"/>
          </w:tcPr>
          <w:p>
            <w:pPr>
              <w:jc w:val="left"/>
              <w:rPr>
                <w:rFonts w:ascii="宋体" w:hAnsi="宋体" w:cs="宋体"/>
                <w:sz w:val="18"/>
                <w:szCs w:val="18"/>
              </w:rPr>
            </w:pPr>
            <w:r>
              <w:rPr>
                <w:rFonts w:hint="eastAsia" w:ascii="宋体" w:hAnsi="宋体" w:cs="宋体"/>
                <w:sz w:val="18"/>
                <w:szCs w:val="18"/>
              </w:rPr>
              <w:t>水电割槽和修补、底盒固定样板</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6</w:t>
            </w:r>
          </w:p>
        </w:tc>
        <w:tc>
          <w:tcPr>
            <w:tcW w:w="1775" w:type="pct"/>
            <w:vAlign w:val="center"/>
          </w:tcPr>
          <w:p>
            <w:pPr>
              <w:jc w:val="left"/>
              <w:rPr>
                <w:rFonts w:ascii="宋体" w:hAnsi="宋体" w:cs="宋体"/>
                <w:sz w:val="18"/>
                <w:szCs w:val="18"/>
              </w:rPr>
            </w:pPr>
            <w:r>
              <w:rPr>
                <w:rFonts w:hint="eastAsia" w:ascii="宋体" w:hAnsi="宋体" w:cs="宋体"/>
                <w:sz w:val="18"/>
                <w:szCs w:val="18"/>
              </w:rPr>
              <w:t>墙面喷毛/拉毛样板</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restart"/>
            <w:vAlign w:val="center"/>
          </w:tcPr>
          <w:p>
            <w:pPr>
              <w:jc w:val="center"/>
              <w:rPr>
                <w:rFonts w:ascii="宋体" w:hAnsi="宋体" w:cs="宋体"/>
                <w:sz w:val="18"/>
                <w:szCs w:val="18"/>
              </w:rPr>
            </w:pPr>
            <w:r>
              <w:rPr>
                <w:rFonts w:hint="eastAsia" w:ascii="宋体" w:hAnsi="宋体" w:cs="宋体"/>
                <w:sz w:val="18"/>
                <w:szCs w:val="18"/>
              </w:rPr>
              <w:t>屋面工程</w:t>
            </w:r>
          </w:p>
        </w:tc>
        <w:tc>
          <w:tcPr>
            <w:tcW w:w="418" w:type="pct"/>
            <w:vAlign w:val="center"/>
          </w:tcPr>
          <w:p>
            <w:pPr>
              <w:jc w:val="center"/>
              <w:rPr>
                <w:rFonts w:ascii="宋体" w:hAnsi="宋体" w:cs="宋体"/>
                <w:sz w:val="18"/>
                <w:szCs w:val="18"/>
              </w:rPr>
            </w:pPr>
            <w:r>
              <w:rPr>
                <w:rFonts w:hint="eastAsia" w:ascii="宋体" w:hAnsi="宋体" w:cs="宋体"/>
                <w:sz w:val="18"/>
                <w:szCs w:val="18"/>
              </w:rPr>
              <w:t>1</w:t>
            </w:r>
          </w:p>
        </w:tc>
        <w:tc>
          <w:tcPr>
            <w:tcW w:w="1775" w:type="pct"/>
            <w:vAlign w:val="center"/>
          </w:tcPr>
          <w:p>
            <w:pPr>
              <w:jc w:val="left"/>
              <w:rPr>
                <w:rFonts w:ascii="宋体" w:hAnsi="宋体" w:cs="宋体"/>
                <w:sz w:val="18"/>
                <w:szCs w:val="18"/>
              </w:rPr>
            </w:pPr>
            <w:r>
              <w:rPr>
                <w:rFonts w:hint="eastAsia" w:ascii="宋体" w:hAnsi="宋体" w:cs="宋体"/>
                <w:sz w:val="18"/>
                <w:szCs w:val="18"/>
              </w:rPr>
              <w:t>屋面防水、隔热</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2</w:t>
            </w:r>
          </w:p>
        </w:tc>
        <w:tc>
          <w:tcPr>
            <w:tcW w:w="1775" w:type="pct"/>
            <w:vAlign w:val="center"/>
          </w:tcPr>
          <w:p>
            <w:pPr>
              <w:jc w:val="left"/>
              <w:rPr>
                <w:rFonts w:ascii="宋体" w:hAnsi="宋体" w:cs="宋体"/>
                <w:sz w:val="18"/>
                <w:szCs w:val="18"/>
              </w:rPr>
            </w:pPr>
            <w:r>
              <w:rPr>
                <w:rFonts w:hint="eastAsia" w:ascii="宋体" w:hAnsi="宋体" w:cs="宋体"/>
                <w:sz w:val="18"/>
                <w:szCs w:val="18"/>
              </w:rPr>
              <w:t>屋面排水、泛水、分隔缝等细部</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restart"/>
            <w:vAlign w:val="center"/>
          </w:tcPr>
          <w:p>
            <w:pPr>
              <w:jc w:val="center"/>
              <w:rPr>
                <w:rFonts w:ascii="宋体" w:hAnsi="宋体" w:cs="宋体"/>
                <w:sz w:val="18"/>
                <w:szCs w:val="18"/>
              </w:rPr>
            </w:pPr>
            <w:r>
              <w:rPr>
                <w:rFonts w:hint="eastAsia" w:ascii="宋体" w:hAnsi="宋体" w:cs="宋体"/>
                <w:sz w:val="18"/>
                <w:szCs w:val="18"/>
              </w:rPr>
              <w:t>门窗工程</w:t>
            </w:r>
          </w:p>
        </w:tc>
        <w:tc>
          <w:tcPr>
            <w:tcW w:w="418" w:type="pct"/>
            <w:vAlign w:val="center"/>
          </w:tcPr>
          <w:p>
            <w:pPr>
              <w:jc w:val="center"/>
              <w:rPr>
                <w:rFonts w:ascii="宋体" w:hAnsi="宋体" w:cs="宋体"/>
                <w:sz w:val="18"/>
                <w:szCs w:val="18"/>
              </w:rPr>
            </w:pPr>
            <w:r>
              <w:rPr>
                <w:rFonts w:hint="eastAsia" w:ascii="宋体" w:hAnsi="宋体" w:cs="宋体"/>
                <w:sz w:val="18"/>
                <w:szCs w:val="18"/>
              </w:rPr>
              <w:t>1</w:t>
            </w:r>
          </w:p>
        </w:tc>
        <w:tc>
          <w:tcPr>
            <w:tcW w:w="1775" w:type="pct"/>
            <w:vAlign w:val="center"/>
          </w:tcPr>
          <w:p>
            <w:pPr>
              <w:jc w:val="left"/>
              <w:rPr>
                <w:rFonts w:ascii="宋体" w:hAnsi="宋体" w:cs="宋体"/>
                <w:sz w:val="18"/>
                <w:szCs w:val="18"/>
              </w:rPr>
            </w:pPr>
            <w:r>
              <w:rPr>
                <w:rFonts w:hint="eastAsia" w:ascii="宋体" w:hAnsi="宋体" w:cs="宋体"/>
                <w:sz w:val="18"/>
                <w:szCs w:val="18"/>
              </w:rPr>
              <w:t>有代表性的门窗安装、外幕墙安装</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2</w:t>
            </w:r>
          </w:p>
        </w:tc>
        <w:tc>
          <w:tcPr>
            <w:tcW w:w="1775" w:type="pct"/>
            <w:vAlign w:val="center"/>
          </w:tcPr>
          <w:p>
            <w:pPr>
              <w:jc w:val="left"/>
              <w:rPr>
                <w:rFonts w:ascii="宋体" w:hAnsi="宋体" w:cs="宋体"/>
                <w:sz w:val="18"/>
                <w:szCs w:val="18"/>
              </w:rPr>
            </w:pPr>
            <w:r>
              <w:rPr>
                <w:rFonts w:hint="eastAsia" w:ascii="宋体" w:hAnsi="宋体" w:cs="宋体"/>
                <w:sz w:val="18"/>
                <w:szCs w:val="18"/>
              </w:rPr>
              <w:t>门窗洞的细部处理（塞缝、防渗漏）</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restart"/>
            <w:vAlign w:val="center"/>
          </w:tcPr>
          <w:p>
            <w:pPr>
              <w:jc w:val="center"/>
              <w:rPr>
                <w:rFonts w:ascii="宋体" w:hAnsi="宋体" w:cs="宋体"/>
                <w:sz w:val="18"/>
                <w:szCs w:val="18"/>
              </w:rPr>
            </w:pPr>
            <w:r>
              <w:rPr>
                <w:rFonts w:hint="eastAsia" w:ascii="宋体" w:hAnsi="宋体" w:cs="宋体"/>
                <w:sz w:val="18"/>
                <w:szCs w:val="18"/>
              </w:rPr>
              <w:t>建筑装修工程</w:t>
            </w:r>
          </w:p>
        </w:tc>
        <w:tc>
          <w:tcPr>
            <w:tcW w:w="418" w:type="pct"/>
            <w:vAlign w:val="center"/>
          </w:tcPr>
          <w:p>
            <w:pPr>
              <w:jc w:val="center"/>
              <w:rPr>
                <w:rFonts w:ascii="宋体" w:hAnsi="宋体" w:cs="宋体"/>
                <w:sz w:val="18"/>
                <w:szCs w:val="18"/>
              </w:rPr>
            </w:pPr>
            <w:r>
              <w:rPr>
                <w:rFonts w:hint="eastAsia" w:ascii="宋体" w:hAnsi="宋体" w:cs="宋体"/>
                <w:sz w:val="18"/>
                <w:szCs w:val="18"/>
              </w:rPr>
              <w:t>1</w:t>
            </w:r>
          </w:p>
        </w:tc>
        <w:tc>
          <w:tcPr>
            <w:tcW w:w="1775" w:type="pct"/>
            <w:vAlign w:val="center"/>
          </w:tcPr>
          <w:p>
            <w:pPr>
              <w:jc w:val="left"/>
              <w:rPr>
                <w:rFonts w:ascii="宋体" w:hAnsi="宋体" w:cs="宋体"/>
                <w:sz w:val="18"/>
                <w:szCs w:val="18"/>
              </w:rPr>
            </w:pPr>
            <w:r>
              <w:rPr>
                <w:rFonts w:hint="eastAsia" w:ascii="宋体" w:hAnsi="宋体" w:cs="宋体"/>
                <w:sz w:val="18"/>
                <w:szCs w:val="18"/>
              </w:rPr>
              <w:t>外墙防水、保温</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2</w:t>
            </w:r>
          </w:p>
        </w:tc>
        <w:tc>
          <w:tcPr>
            <w:tcW w:w="1775" w:type="pct"/>
            <w:vAlign w:val="center"/>
          </w:tcPr>
          <w:p>
            <w:pPr>
              <w:jc w:val="left"/>
              <w:rPr>
                <w:rFonts w:ascii="宋体" w:hAnsi="宋体" w:cs="宋体"/>
                <w:sz w:val="18"/>
                <w:szCs w:val="18"/>
              </w:rPr>
            </w:pPr>
            <w:r>
              <w:rPr>
                <w:rFonts w:hint="eastAsia" w:ascii="宋体" w:hAnsi="宋体" w:cs="宋体"/>
                <w:sz w:val="18"/>
                <w:szCs w:val="18"/>
              </w:rPr>
              <w:t>外墙饰面</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3</w:t>
            </w:r>
          </w:p>
        </w:tc>
        <w:tc>
          <w:tcPr>
            <w:tcW w:w="1775" w:type="pct"/>
            <w:vAlign w:val="center"/>
          </w:tcPr>
          <w:p>
            <w:pPr>
              <w:jc w:val="left"/>
              <w:rPr>
                <w:rFonts w:ascii="宋体" w:hAnsi="宋体" w:cs="宋体"/>
                <w:sz w:val="18"/>
                <w:szCs w:val="18"/>
              </w:rPr>
            </w:pPr>
            <w:r>
              <w:rPr>
                <w:rFonts w:hint="eastAsia" w:ascii="宋体" w:hAnsi="宋体" w:cs="宋体"/>
                <w:sz w:val="18"/>
                <w:szCs w:val="18"/>
              </w:rPr>
              <w:t>内墙抹灰</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4</w:t>
            </w:r>
          </w:p>
        </w:tc>
        <w:tc>
          <w:tcPr>
            <w:tcW w:w="1775" w:type="pct"/>
            <w:vAlign w:val="center"/>
          </w:tcPr>
          <w:p>
            <w:pPr>
              <w:jc w:val="left"/>
              <w:rPr>
                <w:rFonts w:ascii="宋体" w:hAnsi="宋体" w:cs="宋体"/>
                <w:sz w:val="18"/>
                <w:szCs w:val="18"/>
              </w:rPr>
            </w:pPr>
            <w:r>
              <w:rPr>
                <w:rFonts w:hint="eastAsia" w:ascii="宋体" w:hAnsi="宋体" w:cs="宋体"/>
                <w:sz w:val="18"/>
                <w:szCs w:val="18"/>
              </w:rPr>
              <w:t>厨、卫生间防水</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5</w:t>
            </w:r>
          </w:p>
        </w:tc>
        <w:tc>
          <w:tcPr>
            <w:tcW w:w="1775" w:type="pct"/>
            <w:vAlign w:val="center"/>
          </w:tcPr>
          <w:p>
            <w:pPr>
              <w:jc w:val="left"/>
              <w:rPr>
                <w:rFonts w:ascii="宋体" w:hAnsi="宋体" w:cs="宋体"/>
                <w:sz w:val="18"/>
                <w:szCs w:val="18"/>
              </w:rPr>
            </w:pPr>
            <w:r>
              <w:rPr>
                <w:rFonts w:hint="eastAsia" w:ascii="宋体" w:hAnsi="宋体" w:cs="宋体"/>
                <w:sz w:val="18"/>
                <w:szCs w:val="18"/>
              </w:rPr>
              <w:t>楼板吊洞封堵</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restart"/>
            <w:vAlign w:val="center"/>
          </w:tcPr>
          <w:p>
            <w:pPr>
              <w:jc w:val="center"/>
              <w:rPr>
                <w:rFonts w:ascii="宋体" w:hAnsi="宋体" w:cs="宋体"/>
                <w:sz w:val="18"/>
                <w:szCs w:val="18"/>
              </w:rPr>
            </w:pPr>
            <w:r>
              <w:rPr>
                <w:rFonts w:hint="eastAsia" w:ascii="宋体" w:hAnsi="宋体" w:cs="宋体"/>
                <w:sz w:val="18"/>
                <w:szCs w:val="18"/>
              </w:rPr>
              <w:t>给排水工程</w:t>
            </w:r>
          </w:p>
        </w:tc>
        <w:tc>
          <w:tcPr>
            <w:tcW w:w="418" w:type="pct"/>
            <w:vAlign w:val="center"/>
          </w:tcPr>
          <w:p>
            <w:pPr>
              <w:jc w:val="center"/>
              <w:rPr>
                <w:rFonts w:ascii="宋体" w:hAnsi="宋体" w:cs="宋体"/>
                <w:sz w:val="18"/>
                <w:szCs w:val="18"/>
              </w:rPr>
            </w:pPr>
            <w:r>
              <w:rPr>
                <w:rFonts w:hint="eastAsia" w:ascii="宋体" w:hAnsi="宋体" w:cs="宋体"/>
                <w:sz w:val="18"/>
                <w:szCs w:val="18"/>
              </w:rPr>
              <w:t>1</w:t>
            </w:r>
          </w:p>
        </w:tc>
        <w:tc>
          <w:tcPr>
            <w:tcW w:w="1775" w:type="pct"/>
            <w:vAlign w:val="center"/>
          </w:tcPr>
          <w:p>
            <w:pPr>
              <w:jc w:val="left"/>
              <w:rPr>
                <w:rFonts w:ascii="宋体" w:hAnsi="宋体" w:cs="宋体"/>
                <w:sz w:val="18"/>
                <w:szCs w:val="18"/>
              </w:rPr>
            </w:pPr>
            <w:r>
              <w:rPr>
                <w:rFonts w:hint="eastAsia" w:ascii="宋体" w:hAnsi="宋体" w:cs="宋体"/>
                <w:sz w:val="18"/>
                <w:szCs w:val="18"/>
              </w:rPr>
              <w:t>穿楼板管道套管安装</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2</w:t>
            </w:r>
          </w:p>
        </w:tc>
        <w:tc>
          <w:tcPr>
            <w:tcW w:w="1775" w:type="pct"/>
            <w:vAlign w:val="center"/>
          </w:tcPr>
          <w:p>
            <w:pPr>
              <w:jc w:val="left"/>
              <w:rPr>
                <w:rFonts w:ascii="宋体" w:hAnsi="宋体" w:cs="宋体"/>
                <w:sz w:val="18"/>
                <w:szCs w:val="18"/>
              </w:rPr>
            </w:pPr>
            <w:r>
              <w:rPr>
                <w:rFonts w:hint="eastAsia" w:ascii="宋体" w:hAnsi="宋体" w:cs="宋体"/>
                <w:sz w:val="18"/>
                <w:szCs w:val="18"/>
              </w:rPr>
              <w:t>卫生间给排水支管安装</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3</w:t>
            </w:r>
          </w:p>
        </w:tc>
        <w:tc>
          <w:tcPr>
            <w:tcW w:w="1775" w:type="pct"/>
            <w:vAlign w:val="center"/>
          </w:tcPr>
          <w:p>
            <w:pPr>
              <w:jc w:val="left"/>
              <w:rPr>
                <w:rFonts w:ascii="宋体" w:hAnsi="宋体" w:cs="宋体"/>
                <w:sz w:val="18"/>
                <w:szCs w:val="18"/>
              </w:rPr>
            </w:pPr>
            <w:r>
              <w:rPr>
                <w:rFonts w:hint="eastAsia" w:ascii="宋体" w:hAnsi="宋体" w:cs="宋体"/>
                <w:sz w:val="18"/>
                <w:szCs w:val="18"/>
              </w:rPr>
              <w:t>屋面透气管安装</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4</w:t>
            </w:r>
          </w:p>
        </w:tc>
        <w:tc>
          <w:tcPr>
            <w:tcW w:w="1775" w:type="pct"/>
            <w:vAlign w:val="center"/>
          </w:tcPr>
          <w:p>
            <w:pPr>
              <w:jc w:val="left"/>
              <w:rPr>
                <w:rFonts w:ascii="宋体" w:hAnsi="宋体" w:cs="宋体"/>
                <w:sz w:val="18"/>
                <w:szCs w:val="18"/>
              </w:rPr>
            </w:pPr>
            <w:r>
              <w:rPr>
                <w:rFonts w:hint="eastAsia" w:ascii="宋体" w:hAnsi="宋体" w:cs="宋体"/>
                <w:sz w:val="18"/>
                <w:szCs w:val="18"/>
              </w:rPr>
              <w:t>管井立管安装</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5</w:t>
            </w:r>
          </w:p>
        </w:tc>
        <w:tc>
          <w:tcPr>
            <w:tcW w:w="1775" w:type="pct"/>
            <w:vAlign w:val="center"/>
          </w:tcPr>
          <w:p>
            <w:pPr>
              <w:jc w:val="left"/>
              <w:rPr>
                <w:rFonts w:ascii="宋体" w:hAnsi="宋体" w:cs="宋体"/>
                <w:sz w:val="18"/>
                <w:szCs w:val="18"/>
              </w:rPr>
            </w:pPr>
            <w:r>
              <w:rPr>
                <w:rFonts w:hint="eastAsia" w:ascii="宋体" w:hAnsi="宋体" w:cs="宋体"/>
                <w:sz w:val="18"/>
                <w:szCs w:val="18"/>
              </w:rPr>
              <w:t>地下室穿墙管道封堵</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restart"/>
            <w:vAlign w:val="center"/>
          </w:tcPr>
          <w:p>
            <w:pPr>
              <w:jc w:val="center"/>
              <w:rPr>
                <w:rFonts w:ascii="宋体" w:hAnsi="宋体" w:cs="宋体"/>
                <w:sz w:val="18"/>
                <w:szCs w:val="18"/>
              </w:rPr>
            </w:pPr>
            <w:r>
              <w:rPr>
                <w:rFonts w:hint="eastAsia" w:ascii="宋体" w:hAnsi="宋体" w:cs="宋体"/>
                <w:sz w:val="18"/>
                <w:szCs w:val="18"/>
              </w:rPr>
              <w:t>建筑电气工程</w:t>
            </w:r>
          </w:p>
        </w:tc>
        <w:tc>
          <w:tcPr>
            <w:tcW w:w="418" w:type="pct"/>
            <w:vAlign w:val="center"/>
          </w:tcPr>
          <w:p>
            <w:pPr>
              <w:jc w:val="center"/>
              <w:rPr>
                <w:rFonts w:ascii="宋体" w:hAnsi="宋体" w:cs="宋体"/>
                <w:sz w:val="18"/>
                <w:szCs w:val="18"/>
              </w:rPr>
            </w:pPr>
            <w:r>
              <w:rPr>
                <w:rFonts w:hint="eastAsia" w:ascii="宋体" w:hAnsi="宋体" w:cs="宋体"/>
                <w:sz w:val="18"/>
                <w:szCs w:val="18"/>
              </w:rPr>
              <w:t>1</w:t>
            </w:r>
          </w:p>
        </w:tc>
        <w:tc>
          <w:tcPr>
            <w:tcW w:w="1775" w:type="pct"/>
            <w:vAlign w:val="center"/>
          </w:tcPr>
          <w:p>
            <w:pPr>
              <w:jc w:val="left"/>
              <w:rPr>
                <w:rFonts w:ascii="宋体" w:hAnsi="宋体" w:cs="宋体"/>
                <w:sz w:val="18"/>
                <w:szCs w:val="18"/>
              </w:rPr>
            </w:pPr>
            <w:r>
              <w:rPr>
                <w:rFonts w:hint="eastAsia" w:ascii="宋体" w:hAnsi="宋体" w:cs="宋体"/>
                <w:sz w:val="18"/>
                <w:szCs w:val="18"/>
              </w:rPr>
              <w:t>照明配电箱、开关插座的安装</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2</w:t>
            </w:r>
          </w:p>
        </w:tc>
        <w:tc>
          <w:tcPr>
            <w:tcW w:w="1775" w:type="pct"/>
            <w:vAlign w:val="center"/>
          </w:tcPr>
          <w:p>
            <w:pPr>
              <w:jc w:val="left"/>
              <w:rPr>
                <w:rFonts w:ascii="宋体" w:hAnsi="宋体" w:cs="宋体"/>
                <w:sz w:val="18"/>
                <w:szCs w:val="18"/>
              </w:rPr>
            </w:pPr>
            <w:r>
              <w:rPr>
                <w:rFonts w:hint="eastAsia" w:ascii="宋体" w:hAnsi="宋体" w:cs="宋体"/>
                <w:sz w:val="18"/>
                <w:szCs w:val="18"/>
              </w:rPr>
              <w:t>隐蔽工程的线路铺设</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3</w:t>
            </w:r>
          </w:p>
        </w:tc>
        <w:tc>
          <w:tcPr>
            <w:tcW w:w="1775" w:type="pct"/>
            <w:vAlign w:val="center"/>
          </w:tcPr>
          <w:p>
            <w:pPr>
              <w:jc w:val="left"/>
              <w:rPr>
                <w:rFonts w:ascii="宋体" w:hAnsi="宋体" w:cs="宋体"/>
                <w:sz w:val="18"/>
                <w:szCs w:val="18"/>
              </w:rPr>
            </w:pPr>
            <w:r>
              <w:rPr>
                <w:rFonts w:hint="eastAsia" w:ascii="宋体" w:hAnsi="宋体" w:cs="宋体"/>
                <w:sz w:val="18"/>
                <w:szCs w:val="18"/>
              </w:rPr>
              <w:t>金属线槽、桥架铺设</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restart"/>
            <w:vAlign w:val="center"/>
          </w:tcPr>
          <w:p>
            <w:pPr>
              <w:jc w:val="center"/>
              <w:rPr>
                <w:rFonts w:ascii="宋体" w:hAnsi="宋体" w:cs="宋体"/>
                <w:sz w:val="18"/>
                <w:szCs w:val="18"/>
              </w:rPr>
            </w:pPr>
            <w:r>
              <w:rPr>
                <w:rFonts w:hint="eastAsia" w:ascii="宋体" w:hAnsi="宋体" w:cs="宋体"/>
                <w:sz w:val="18"/>
                <w:szCs w:val="18"/>
              </w:rPr>
              <w:t>通风空调工程</w:t>
            </w:r>
          </w:p>
        </w:tc>
        <w:tc>
          <w:tcPr>
            <w:tcW w:w="418" w:type="pct"/>
            <w:vAlign w:val="center"/>
          </w:tcPr>
          <w:p>
            <w:pPr>
              <w:jc w:val="center"/>
              <w:rPr>
                <w:rFonts w:ascii="宋体" w:hAnsi="宋体" w:cs="宋体"/>
                <w:sz w:val="18"/>
                <w:szCs w:val="18"/>
              </w:rPr>
            </w:pPr>
            <w:r>
              <w:rPr>
                <w:rFonts w:hint="eastAsia" w:ascii="宋体" w:hAnsi="宋体" w:cs="宋体"/>
                <w:sz w:val="18"/>
                <w:szCs w:val="18"/>
              </w:rPr>
              <w:t>1</w:t>
            </w:r>
          </w:p>
        </w:tc>
        <w:tc>
          <w:tcPr>
            <w:tcW w:w="1775" w:type="pct"/>
            <w:vAlign w:val="center"/>
          </w:tcPr>
          <w:p>
            <w:pPr>
              <w:jc w:val="left"/>
              <w:rPr>
                <w:rFonts w:ascii="宋体" w:hAnsi="宋体" w:cs="宋体"/>
                <w:sz w:val="18"/>
                <w:szCs w:val="18"/>
              </w:rPr>
            </w:pPr>
            <w:r>
              <w:rPr>
                <w:rFonts w:hint="eastAsia" w:ascii="宋体" w:hAnsi="宋体" w:cs="宋体"/>
                <w:sz w:val="18"/>
                <w:szCs w:val="18"/>
              </w:rPr>
              <w:t>标准层风管制作安装</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2</w:t>
            </w:r>
          </w:p>
        </w:tc>
        <w:tc>
          <w:tcPr>
            <w:tcW w:w="1775" w:type="pct"/>
            <w:vAlign w:val="center"/>
          </w:tcPr>
          <w:p>
            <w:pPr>
              <w:jc w:val="left"/>
              <w:rPr>
                <w:rFonts w:ascii="宋体" w:hAnsi="宋体" w:cs="宋体"/>
                <w:sz w:val="18"/>
                <w:szCs w:val="18"/>
              </w:rPr>
            </w:pPr>
            <w:r>
              <w:rPr>
                <w:rFonts w:hint="eastAsia" w:ascii="宋体" w:hAnsi="宋体" w:cs="宋体"/>
                <w:sz w:val="18"/>
                <w:szCs w:val="18"/>
              </w:rPr>
              <w:t>风口、风阀、百叶安装</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restart"/>
            <w:vAlign w:val="center"/>
          </w:tcPr>
          <w:p>
            <w:pPr>
              <w:jc w:val="center"/>
              <w:rPr>
                <w:rFonts w:ascii="宋体" w:hAnsi="宋体" w:cs="宋体"/>
                <w:sz w:val="18"/>
                <w:szCs w:val="18"/>
              </w:rPr>
            </w:pPr>
            <w:r>
              <w:rPr>
                <w:rFonts w:hint="eastAsia" w:ascii="宋体" w:hAnsi="宋体" w:cs="宋体"/>
                <w:sz w:val="18"/>
                <w:szCs w:val="18"/>
              </w:rPr>
              <w:t>成品保护</w:t>
            </w:r>
          </w:p>
        </w:tc>
        <w:tc>
          <w:tcPr>
            <w:tcW w:w="418" w:type="pct"/>
            <w:vAlign w:val="center"/>
          </w:tcPr>
          <w:p>
            <w:pPr>
              <w:jc w:val="center"/>
              <w:rPr>
                <w:rFonts w:ascii="宋体" w:hAnsi="宋体" w:cs="宋体"/>
                <w:sz w:val="18"/>
                <w:szCs w:val="18"/>
              </w:rPr>
            </w:pPr>
            <w:r>
              <w:rPr>
                <w:rFonts w:hint="eastAsia" w:ascii="宋体" w:hAnsi="宋体" w:cs="宋体"/>
                <w:sz w:val="18"/>
                <w:szCs w:val="18"/>
              </w:rPr>
              <w:t>1</w:t>
            </w:r>
          </w:p>
        </w:tc>
        <w:tc>
          <w:tcPr>
            <w:tcW w:w="1775" w:type="pct"/>
            <w:vAlign w:val="center"/>
          </w:tcPr>
          <w:p>
            <w:pPr>
              <w:jc w:val="left"/>
              <w:rPr>
                <w:rFonts w:ascii="宋体" w:hAnsi="宋体" w:cs="宋体"/>
                <w:sz w:val="18"/>
                <w:szCs w:val="18"/>
              </w:rPr>
            </w:pPr>
            <w:r>
              <w:rPr>
                <w:rFonts w:hint="eastAsia" w:ascii="宋体" w:hAnsi="宋体" w:cs="宋体"/>
                <w:sz w:val="18"/>
                <w:szCs w:val="18"/>
              </w:rPr>
              <w:t>地面面砖成品保护</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2</w:t>
            </w:r>
          </w:p>
        </w:tc>
        <w:tc>
          <w:tcPr>
            <w:tcW w:w="1775" w:type="pct"/>
            <w:vAlign w:val="center"/>
          </w:tcPr>
          <w:p>
            <w:pPr>
              <w:jc w:val="left"/>
              <w:rPr>
                <w:rFonts w:ascii="宋体" w:hAnsi="宋体" w:cs="宋体"/>
                <w:sz w:val="18"/>
                <w:szCs w:val="18"/>
              </w:rPr>
            </w:pPr>
            <w:r>
              <w:rPr>
                <w:rFonts w:hint="eastAsia" w:ascii="宋体" w:hAnsi="宋体" w:cs="宋体"/>
                <w:sz w:val="18"/>
                <w:szCs w:val="18"/>
              </w:rPr>
              <w:t>入户门框成品保护</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3</w:t>
            </w:r>
          </w:p>
        </w:tc>
        <w:tc>
          <w:tcPr>
            <w:tcW w:w="1775" w:type="pct"/>
            <w:vAlign w:val="center"/>
          </w:tcPr>
          <w:p>
            <w:pPr>
              <w:jc w:val="left"/>
              <w:rPr>
                <w:rFonts w:ascii="宋体" w:hAnsi="宋体" w:cs="宋体"/>
                <w:sz w:val="18"/>
                <w:szCs w:val="18"/>
              </w:rPr>
            </w:pPr>
            <w:r>
              <w:rPr>
                <w:rFonts w:hint="eastAsia" w:ascii="宋体" w:hAnsi="宋体" w:cs="宋体"/>
                <w:sz w:val="18"/>
                <w:szCs w:val="18"/>
              </w:rPr>
              <w:t>铝合金门窗框成品保护</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4</w:t>
            </w:r>
          </w:p>
        </w:tc>
        <w:tc>
          <w:tcPr>
            <w:tcW w:w="1775" w:type="pct"/>
            <w:vAlign w:val="center"/>
          </w:tcPr>
          <w:p>
            <w:pPr>
              <w:jc w:val="left"/>
              <w:rPr>
                <w:rFonts w:ascii="宋体" w:hAnsi="宋体" w:cs="宋体"/>
                <w:sz w:val="18"/>
                <w:szCs w:val="18"/>
              </w:rPr>
            </w:pPr>
            <w:r>
              <w:rPr>
                <w:rFonts w:hint="eastAsia" w:ascii="宋体" w:hAnsi="宋体" w:cs="宋体"/>
                <w:sz w:val="18"/>
                <w:szCs w:val="18"/>
              </w:rPr>
              <w:t>柱、墙面阳角成品保护</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5</w:t>
            </w:r>
          </w:p>
        </w:tc>
        <w:tc>
          <w:tcPr>
            <w:tcW w:w="1775" w:type="pct"/>
            <w:vAlign w:val="center"/>
          </w:tcPr>
          <w:p>
            <w:pPr>
              <w:jc w:val="left"/>
              <w:rPr>
                <w:rFonts w:ascii="宋体" w:hAnsi="宋体" w:cs="宋体"/>
                <w:sz w:val="18"/>
                <w:szCs w:val="18"/>
              </w:rPr>
            </w:pPr>
            <w:r>
              <w:rPr>
                <w:rFonts w:hint="eastAsia" w:ascii="宋体" w:hAnsi="宋体" w:cs="宋体"/>
                <w:sz w:val="18"/>
                <w:szCs w:val="18"/>
              </w:rPr>
              <w:t>木地板成品保护</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97" w:type="pct"/>
            <w:vMerge w:val="continue"/>
            <w:vAlign w:val="center"/>
          </w:tcPr>
          <w:p>
            <w:pPr>
              <w:jc w:val="center"/>
              <w:rPr>
                <w:rFonts w:ascii="宋体" w:hAnsi="宋体" w:cs="宋体"/>
                <w:sz w:val="18"/>
                <w:szCs w:val="18"/>
              </w:rPr>
            </w:pPr>
          </w:p>
        </w:tc>
        <w:tc>
          <w:tcPr>
            <w:tcW w:w="418" w:type="pct"/>
            <w:vAlign w:val="center"/>
          </w:tcPr>
          <w:p>
            <w:pPr>
              <w:jc w:val="center"/>
              <w:rPr>
                <w:rFonts w:ascii="宋体" w:hAnsi="宋体" w:cs="宋体"/>
                <w:sz w:val="18"/>
                <w:szCs w:val="18"/>
              </w:rPr>
            </w:pPr>
            <w:r>
              <w:rPr>
                <w:rFonts w:hint="eastAsia" w:ascii="宋体" w:hAnsi="宋体" w:cs="宋体"/>
                <w:sz w:val="18"/>
                <w:szCs w:val="18"/>
              </w:rPr>
              <w:t>6</w:t>
            </w:r>
          </w:p>
        </w:tc>
        <w:tc>
          <w:tcPr>
            <w:tcW w:w="1775" w:type="pct"/>
            <w:vAlign w:val="center"/>
          </w:tcPr>
          <w:p>
            <w:pPr>
              <w:jc w:val="left"/>
              <w:rPr>
                <w:rFonts w:ascii="宋体" w:hAnsi="宋体" w:cs="宋体"/>
                <w:sz w:val="18"/>
                <w:szCs w:val="18"/>
              </w:rPr>
            </w:pPr>
            <w:r>
              <w:rPr>
                <w:rFonts w:hint="eastAsia" w:ascii="宋体" w:hAnsi="宋体" w:cs="宋体"/>
                <w:sz w:val="18"/>
                <w:szCs w:val="18"/>
              </w:rPr>
              <w:t>洁具成品保护</w:t>
            </w:r>
          </w:p>
        </w:tc>
        <w:tc>
          <w:tcPr>
            <w:tcW w:w="2010" w:type="pct"/>
            <w:vAlign w:val="center"/>
          </w:tcPr>
          <w:p>
            <w:pPr>
              <w:jc w:val="center"/>
              <w:rPr>
                <w:rFonts w:ascii="宋体" w:hAnsi="宋体" w:cs="宋体"/>
                <w:sz w:val="18"/>
                <w:szCs w:val="18"/>
              </w:rPr>
            </w:pPr>
            <w:r>
              <w:rPr>
                <w:rFonts w:hint="eastAsia" w:ascii="宋体" w:hAnsi="宋体" w:cs="宋体"/>
                <w:sz w:val="18"/>
                <w:szCs w:val="18"/>
              </w:rPr>
              <w:t>项目公司工程部、施工单位、监理单位</w:t>
            </w:r>
          </w:p>
        </w:tc>
      </w:tr>
    </w:tbl>
    <w:p>
      <w:pPr>
        <w:pStyle w:val="3"/>
        <w:spacing w:before="0" w:after="0" w:line="276" w:lineRule="auto"/>
        <w:ind w:firstLine="413" w:firstLineChars="196"/>
        <w:rPr>
          <w:rFonts w:ascii="宋体" w:hAnsi="宋体"/>
        </w:rPr>
      </w:pPr>
      <w:bookmarkStart w:id="172" w:name="_Toc144459645"/>
      <w:r>
        <w:rPr>
          <w:rFonts w:hint="eastAsia" w:ascii="宋体" w:hAnsi="宋体"/>
          <w:sz w:val="21"/>
          <w:szCs w:val="21"/>
        </w:rPr>
        <w:t xml:space="preserve">8.4  </w:t>
      </w:r>
      <w:r>
        <w:rPr>
          <w:rFonts w:ascii="宋体" w:hAnsi="宋体"/>
          <w:sz w:val="21"/>
          <w:szCs w:val="21"/>
        </w:rPr>
        <w:t>工程停止点检查</w:t>
      </w:r>
      <w:r>
        <w:rPr>
          <w:rFonts w:hint="eastAsia" w:ascii="宋体" w:hAnsi="宋体"/>
          <w:sz w:val="21"/>
          <w:szCs w:val="21"/>
        </w:rPr>
        <w:t>制度</w:t>
      </w:r>
      <w:bookmarkEnd w:id="171"/>
      <w:bookmarkEnd w:id="172"/>
    </w:p>
    <w:p>
      <w:pPr>
        <w:tabs>
          <w:tab w:val="left" w:pos="554"/>
        </w:tabs>
        <w:spacing w:line="276" w:lineRule="auto"/>
        <w:ind w:firstLine="420" w:firstLineChars="200"/>
        <w:rPr>
          <w:rFonts w:ascii="宋体" w:hAnsi="宋体"/>
        </w:rPr>
      </w:pPr>
      <w:r>
        <w:rPr>
          <w:rFonts w:hint="eastAsia" w:ascii="宋体" w:hAnsi="宋体"/>
        </w:rPr>
        <w:t>本工程对工序验收、隐蔽验收、交接验收等实施“班组自检、施工单位检查、监理验收、发包人验收”等四级验收制度，所有工序都要求施工单位、监理单位按照要求进行100%检查，并签字确认；对于重要的施工工序（节点），将按规定设置为强制停止检查控制点，在监理验收合格后，必须再报发包人验收。</w:t>
      </w:r>
    </w:p>
    <w:p>
      <w:pPr>
        <w:tabs>
          <w:tab w:val="left" w:pos="554"/>
        </w:tabs>
        <w:spacing w:line="276" w:lineRule="auto"/>
        <w:ind w:firstLine="420" w:firstLineChars="200"/>
        <w:rPr>
          <w:rFonts w:ascii="宋体" w:hAnsi="宋体"/>
        </w:rPr>
      </w:pPr>
      <w:r>
        <w:rPr>
          <w:rFonts w:hint="eastAsia" w:ascii="宋体" w:hAnsi="宋体"/>
        </w:rPr>
        <w:t>凡列为停止点的控制对象，必须在报请监理方验收通过后，由监理方通知发包人方进行验收，未经发包人认可不能越过该点继续活动，前一停止点检查未通过，工程实施不得进入下一阶段。</w:t>
      </w:r>
      <w:r>
        <w:rPr>
          <w:rFonts w:ascii="宋体" w:hAnsi="宋体"/>
        </w:rPr>
        <w:t>工程停止点检查</w:t>
      </w:r>
      <w:r>
        <w:rPr>
          <w:rFonts w:hint="eastAsia" w:ascii="宋体" w:hAnsi="宋体"/>
        </w:rPr>
        <w:t>清单具体内容，具体如下。</w:t>
      </w:r>
    </w:p>
    <w:tbl>
      <w:tblPr>
        <w:tblStyle w:val="21"/>
        <w:tblW w:w="9373" w:type="dxa"/>
        <w:tblInd w:w="95" w:type="dxa"/>
        <w:tblLayout w:type="fixed"/>
        <w:tblCellMar>
          <w:top w:w="0" w:type="dxa"/>
          <w:left w:w="108" w:type="dxa"/>
          <w:bottom w:w="0" w:type="dxa"/>
          <w:right w:w="108" w:type="dxa"/>
        </w:tblCellMar>
      </w:tblPr>
      <w:tblGrid>
        <w:gridCol w:w="1147"/>
        <w:gridCol w:w="993"/>
        <w:gridCol w:w="1417"/>
        <w:gridCol w:w="2693"/>
        <w:gridCol w:w="1701"/>
        <w:gridCol w:w="1422"/>
      </w:tblGrid>
      <w:tr>
        <w:tblPrEx>
          <w:tblCellMar>
            <w:top w:w="0" w:type="dxa"/>
            <w:left w:w="108" w:type="dxa"/>
            <w:bottom w:w="0" w:type="dxa"/>
            <w:right w:w="108" w:type="dxa"/>
          </w:tblCellMar>
        </w:tblPrEx>
        <w:trPr>
          <w:trHeight w:val="330" w:hRule="atLeast"/>
          <w:tblHeader/>
        </w:trPr>
        <w:tc>
          <w:tcPr>
            <w:tcW w:w="1147" w:type="dxa"/>
            <w:vMerge w:val="restart"/>
            <w:tcBorders>
              <w:top w:val="single" w:color="auto" w:sz="8" w:space="0"/>
              <w:left w:val="single" w:color="auto" w:sz="8" w:space="0"/>
              <w:bottom w:val="single" w:color="auto" w:sz="4" w:space="0"/>
              <w:right w:val="single" w:color="auto" w:sz="4" w:space="0"/>
            </w:tcBorders>
            <w:shd w:val="clear" w:color="auto" w:fill="FFFFFF"/>
            <w:vAlign w:val="center"/>
          </w:tcPr>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分部工程</w:t>
            </w:r>
          </w:p>
        </w:tc>
        <w:tc>
          <w:tcPr>
            <w:tcW w:w="993" w:type="dxa"/>
            <w:vMerge w:val="restart"/>
            <w:tcBorders>
              <w:top w:val="single" w:color="auto" w:sz="8"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分项</w:t>
            </w:r>
          </w:p>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工程</w:t>
            </w:r>
          </w:p>
        </w:tc>
        <w:tc>
          <w:tcPr>
            <w:tcW w:w="1417" w:type="dxa"/>
            <w:vMerge w:val="restart"/>
            <w:tcBorders>
              <w:top w:val="single" w:color="auto" w:sz="8"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停止点</w:t>
            </w:r>
          </w:p>
        </w:tc>
        <w:tc>
          <w:tcPr>
            <w:tcW w:w="2693" w:type="dxa"/>
            <w:vMerge w:val="restart"/>
            <w:tcBorders>
              <w:top w:val="single" w:color="auto" w:sz="8"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控制内容</w:t>
            </w:r>
          </w:p>
        </w:tc>
        <w:tc>
          <w:tcPr>
            <w:tcW w:w="3123" w:type="dxa"/>
            <w:gridSpan w:val="2"/>
            <w:tcBorders>
              <w:top w:val="single" w:color="auto" w:sz="8" w:space="0"/>
              <w:left w:val="nil"/>
              <w:bottom w:val="single" w:color="auto" w:sz="4" w:space="0"/>
              <w:right w:val="single" w:color="000000" w:sz="8" w:space="0"/>
            </w:tcBorders>
            <w:shd w:val="clear" w:color="auto" w:fill="FFFFFF"/>
            <w:vAlign w:val="center"/>
          </w:tcPr>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验收要求</w:t>
            </w:r>
          </w:p>
        </w:tc>
      </w:tr>
      <w:tr>
        <w:tblPrEx>
          <w:tblCellMar>
            <w:top w:w="0" w:type="dxa"/>
            <w:left w:w="108" w:type="dxa"/>
            <w:bottom w:w="0" w:type="dxa"/>
            <w:right w:w="108" w:type="dxa"/>
          </w:tblCellMar>
        </w:tblPrEx>
        <w:trPr>
          <w:trHeight w:val="315" w:hRule="atLeast"/>
          <w:tblHeader/>
        </w:trPr>
        <w:tc>
          <w:tcPr>
            <w:tcW w:w="1147" w:type="dxa"/>
            <w:vMerge w:val="continue"/>
            <w:tcBorders>
              <w:top w:val="single" w:color="auto" w:sz="8" w:space="0"/>
              <w:left w:val="single" w:color="auto" w:sz="8" w:space="0"/>
              <w:bottom w:val="single" w:color="auto" w:sz="4" w:space="0"/>
              <w:right w:val="single" w:color="auto" w:sz="4" w:space="0"/>
            </w:tcBorders>
            <w:shd w:val="clear" w:color="auto" w:fill="FFFFFF"/>
            <w:vAlign w:val="center"/>
          </w:tcPr>
          <w:p>
            <w:pPr>
              <w:widowControl/>
              <w:adjustRightInd w:val="0"/>
              <w:snapToGrid w:val="0"/>
              <w:spacing w:line="300" w:lineRule="auto"/>
              <w:jc w:val="left"/>
              <w:rPr>
                <w:rFonts w:ascii="宋体" w:hAnsi="宋体" w:cs="宋体"/>
                <w:b/>
                <w:bCs/>
                <w:kern w:val="0"/>
                <w:sz w:val="18"/>
                <w:szCs w:val="18"/>
              </w:rPr>
            </w:pPr>
          </w:p>
        </w:tc>
        <w:tc>
          <w:tcPr>
            <w:tcW w:w="993" w:type="dxa"/>
            <w:vMerge w:val="continue"/>
            <w:tcBorders>
              <w:top w:val="single" w:color="auto" w:sz="8"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300" w:lineRule="auto"/>
              <w:jc w:val="left"/>
              <w:rPr>
                <w:rFonts w:ascii="宋体" w:hAnsi="宋体" w:cs="宋体"/>
                <w:b/>
                <w:bCs/>
                <w:kern w:val="0"/>
                <w:sz w:val="18"/>
                <w:szCs w:val="18"/>
              </w:rPr>
            </w:pPr>
          </w:p>
        </w:tc>
        <w:tc>
          <w:tcPr>
            <w:tcW w:w="1417" w:type="dxa"/>
            <w:vMerge w:val="continue"/>
            <w:tcBorders>
              <w:top w:val="single" w:color="auto" w:sz="8"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300" w:lineRule="auto"/>
              <w:jc w:val="left"/>
              <w:rPr>
                <w:rFonts w:ascii="宋体" w:hAnsi="宋体" w:cs="宋体"/>
                <w:b/>
                <w:bCs/>
                <w:kern w:val="0"/>
                <w:sz w:val="18"/>
                <w:szCs w:val="18"/>
              </w:rPr>
            </w:pPr>
          </w:p>
        </w:tc>
        <w:tc>
          <w:tcPr>
            <w:tcW w:w="2693" w:type="dxa"/>
            <w:vMerge w:val="continue"/>
            <w:tcBorders>
              <w:top w:val="single" w:color="auto" w:sz="8" w:space="0"/>
              <w:left w:val="single" w:color="auto" w:sz="4" w:space="0"/>
              <w:bottom w:val="single" w:color="auto" w:sz="4" w:space="0"/>
              <w:right w:val="single" w:color="auto" w:sz="4" w:space="0"/>
            </w:tcBorders>
            <w:shd w:val="clear" w:color="auto" w:fill="FFFFFF"/>
            <w:vAlign w:val="center"/>
          </w:tcPr>
          <w:p>
            <w:pPr>
              <w:widowControl/>
              <w:adjustRightInd w:val="0"/>
              <w:snapToGrid w:val="0"/>
              <w:spacing w:line="300" w:lineRule="auto"/>
              <w:jc w:val="left"/>
              <w:rPr>
                <w:rFonts w:ascii="宋体" w:hAnsi="宋体" w:cs="宋体"/>
                <w:b/>
                <w:bCs/>
                <w:kern w:val="0"/>
                <w:sz w:val="18"/>
                <w:szCs w:val="18"/>
              </w:rPr>
            </w:pPr>
          </w:p>
        </w:tc>
        <w:tc>
          <w:tcPr>
            <w:tcW w:w="1701" w:type="dxa"/>
            <w:tcBorders>
              <w:top w:val="nil"/>
              <w:left w:val="nil"/>
              <w:bottom w:val="single" w:color="auto" w:sz="4" w:space="0"/>
              <w:right w:val="single" w:color="auto" w:sz="4" w:space="0"/>
            </w:tcBorders>
            <w:shd w:val="clear" w:color="auto" w:fill="FFFFFF"/>
            <w:vAlign w:val="center"/>
          </w:tcPr>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监理验收</w:t>
            </w:r>
          </w:p>
        </w:tc>
        <w:tc>
          <w:tcPr>
            <w:tcW w:w="1422" w:type="dxa"/>
            <w:tcBorders>
              <w:top w:val="nil"/>
              <w:left w:val="nil"/>
              <w:bottom w:val="single" w:color="auto" w:sz="4" w:space="0"/>
              <w:right w:val="single" w:color="auto" w:sz="8" w:space="0"/>
            </w:tcBorders>
            <w:shd w:val="clear" w:color="auto" w:fill="FFFFFF"/>
            <w:vAlign w:val="center"/>
          </w:tcPr>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发包人验收</w:t>
            </w:r>
          </w:p>
        </w:tc>
      </w:tr>
      <w:tr>
        <w:tblPrEx>
          <w:tblCellMar>
            <w:top w:w="0" w:type="dxa"/>
            <w:left w:w="108" w:type="dxa"/>
            <w:bottom w:w="0" w:type="dxa"/>
            <w:right w:w="108" w:type="dxa"/>
          </w:tblCellMar>
        </w:tblPrEx>
        <w:trPr>
          <w:trHeight w:val="660" w:hRule="atLeast"/>
        </w:trPr>
        <w:tc>
          <w:tcPr>
            <w:tcW w:w="1147" w:type="dxa"/>
            <w:vMerge w:val="restart"/>
            <w:tcBorders>
              <w:top w:val="nil"/>
              <w:left w:val="single" w:color="auto" w:sz="8" w:space="0"/>
              <w:right w:val="single" w:color="auto" w:sz="4" w:space="0"/>
            </w:tcBorders>
            <w:vAlign w:val="center"/>
          </w:tcPr>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地基与基础</w:t>
            </w: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平场</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平场移交验收</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边界线，标高、方格网、资料</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专业工程师及造价工程师全检</w:t>
            </w:r>
          </w:p>
        </w:tc>
      </w:tr>
      <w:tr>
        <w:tblPrEx>
          <w:tblCellMar>
            <w:top w:w="0" w:type="dxa"/>
            <w:left w:w="108" w:type="dxa"/>
            <w:bottom w:w="0" w:type="dxa"/>
            <w:right w:w="108" w:type="dxa"/>
          </w:tblCellMar>
        </w:tblPrEx>
        <w:trPr>
          <w:trHeight w:val="540"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jc w:val="center"/>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定位放线</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基础验线</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定位、坐标、放线、记录、验线记录、闭合</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w:t>
            </w:r>
          </w:p>
        </w:tc>
      </w:tr>
      <w:tr>
        <w:tblPrEx>
          <w:tblCellMar>
            <w:top w:w="0" w:type="dxa"/>
            <w:left w:w="108" w:type="dxa"/>
            <w:bottom w:w="0" w:type="dxa"/>
            <w:right w:w="108" w:type="dxa"/>
          </w:tblCellMar>
        </w:tblPrEx>
        <w:trPr>
          <w:trHeight w:val="540"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jc w:val="center"/>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排水沟</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排水沟施工前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定位、做法</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发包人工程师现场抽检50%</w:t>
            </w:r>
          </w:p>
        </w:tc>
      </w:tr>
      <w:tr>
        <w:tblPrEx>
          <w:tblCellMar>
            <w:top w:w="0" w:type="dxa"/>
            <w:left w:w="108" w:type="dxa"/>
            <w:bottom w:w="0" w:type="dxa"/>
            <w:right w:w="108" w:type="dxa"/>
          </w:tblCellMar>
        </w:tblPrEx>
        <w:trPr>
          <w:trHeight w:val="540" w:hRule="atLeast"/>
        </w:trPr>
        <w:tc>
          <w:tcPr>
            <w:tcW w:w="1147" w:type="dxa"/>
            <w:vMerge w:val="continue"/>
            <w:tcBorders>
              <w:left w:val="single" w:color="auto" w:sz="8" w:space="0"/>
              <w:right w:val="single" w:color="auto" w:sz="4" w:space="0"/>
            </w:tcBorders>
            <w:vAlign w:val="center"/>
          </w:tcPr>
          <w:p>
            <w:pPr>
              <w:widowControl/>
              <w:adjustRightInd w:val="0"/>
              <w:snapToGrid w:val="0"/>
              <w:spacing w:line="300" w:lineRule="auto"/>
              <w:jc w:val="center"/>
              <w:rPr>
                <w:rFonts w:ascii="宋体" w:hAnsi="宋体" w:cs="宋体"/>
                <w:b/>
                <w:bCs/>
                <w:kern w:val="0"/>
                <w:sz w:val="18"/>
                <w:szCs w:val="18"/>
              </w:rPr>
            </w:pPr>
          </w:p>
        </w:tc>
        <w:tc>
          <w:tcPr>
            <w:tcW w:w="993"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原材料验收</w:t>
            </w:r>
          </w:p>
        </w:tc>
        <w:tc>
          <w:tcPr>
            <w:tcW w:w="1417"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钢筋、防水、水泥</w:t>
            </w:r>
          </w:p>
        </w:tc>
        <w:tc>
          <w:tcPr>
            <w:tcW w:w="2693"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原材料送检、复检、资料</w:t>
            </w:r>
          </w:p>
        </w:tc>
        <w:tc>
          <w:tcPr>
            <w:tcW w:w="1701"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single" w:color="auto" w:sz="4" w:space="0"/>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发包人工程师现场抽检50%</w:t>
            </w:r>
          </w:p>
        </w:tc>
      </w:tr>
      <w:tr>
        <w:tblPrEx>
          <w:tblCellMar>
            <w:top w:w="0" w:type="dxa"/>
            <w:left w:w="108" w:type="dxa"/>
            <w:bottom w:w="0" w:type="dxa"/>
            <w:right w:w="108" w:type="dxa"/>
          </w:tblCellMar>
        </w:tblPrEx>
        <w:trPr>
          <w:trHeight w:val="1030"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jc w:val="center"/>
              <w:rPr>
                <w:rFonts w:ascii="宋体" w:hAnsi="宋体" w:cs="宋体"/>
                <w:b/>
                <w:bCs/>
                <w:kern w:val="0"/>
                <w:sz w:val="18"/>
                <w:szCs w:val="18"/>
              </w:rPr>
            </w:pPr>
          </w:p>
        </w:tc>
        <w:tc>
          <w:tcPr>
            <w:tcW w:w="993"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ind w:firstLine="90" w:firstLineChars="50"/>
              <w:jc w:val="left"/>
              <w:rPr>
                <w:rFonts w:ascii="宋体" w:hAnsi="宋体" w:cs="宋体"/>
                <w:kern w:val="0"/>
                <w:sz w:val="18"/>
                <w:szCs w:val="18"/>
              </w:rPr>
            </w:pPr>
            <w:r>
              <w:rPr>
                <w:rFonts w:hint="eastAsia" w:ascii="宋体" w:hAnsi="宋体" w:cs="宋体"/>
                <w:kern w:val="0"/>
                <w:sz w:val="18"/>
                <w:szCs w:val="18"/>
              </w:rPr>
              <w:t>回填土</w:t>
            </w:r>
          </w:p>
        </w:tc>
        <w:tc>
          <w:tcPr>
            <w:tcW w:w="1417" w:type="dxa"/>
            <w:tcBorders>
              <w:top w:val="single" w:color="auto" w:sz="4" w:space="0"/>
              <w:left w:val="nil"/>
              <w:bottom w:val="single" w:color="auto" w:sz="4" w:space="0"/>
              <w:right w:val="single" w:color="auto" w:sz="4"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回填部位隐蔽验收、及回填过程抽查取样</w:t>
            </w:r>
          </w:p>
        </w:tc>
        <w:tc>
          <w:tcPr>
            <w:tcW w:w="2693"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回填部位清理、回填土粒径控制、回填厚度、夯实、压实系数、资料</w:t>
            </w:r>
          </w:p>
        </w:tc>
        <w:tc>
          <w:tcPr>
            <w:tcW w:w="1701"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single" w:color="auto" w:sz="4" w:space="0"/>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发包人工程师现场抽检50%</w:t>
            </w:r>
          </w:p>
        </w:tc>
      </w:tr>
      <w:tr>
        <w:tblPrEx>
          <w:tblCellMar>
            <w:top w:w="0" w:type="dxa"/>
            <w:left w:w="108" w:type="dxa"/>
            <w:bottom w:w="0" w:type="dxa"/>
            <w:right w:w="108" w:type="dxa"/>
          </w:tblCellMar>
        </w:tblPrEx>
        <w:trPr>
          <w:trHeight w:val="1360" w:hRule="atLeast"/>
        </w:trPr>
        <w:tc>
          <w:tcPr>
            <w:tcW w:w="1147" w:type="dxa"/>
            <w:vMerge w:val="continue"/>
            <w:tcBorders>
              <w:left w:val="single" w:color="auto" w:sz="8" w:space="0"/>
              <w:bottom w:val="single" w:color="auto" w:sz="4" w:space="0"/>
              <w:right w:val="single" w:color="auto" w:sz="4" w:space="0"/>
            </w:tcBorders>
            <w:vAlign w:val="center"/>
          </w:tcPr>
          <w:p>
            <w:pPr>
              <w:adjustRightInd w:val="0"/>
              <w:snapToGrid w:val="0"/>
              <w:spacing w:line="300" w:lineRule="auto"/>
              <w:jc w:val="center"/>
              <w:rPr>
                <w:rFonts w:ascii="宋体" w:hAnsi="宋体" w:cs="宋体"/>
                <w:b/>
                <w:bCs/>
                <w:kern w:val="0"/>
                <w:sz w:val="18"/>
                <w:szCs w:val="18"/>
              </w:rPr>
            </w:pPr>
          </w:p>
        </w:tc>
        <w:tc>
          <w:tcPr>
            <w:tcW w:w="993" w:type="dxa"/>
            <w:tcBorders>
              <w:top w:val="single" w:color="auto" w:sz="4" w:space="0"/>
              <w:left w:val="nil"/>
              <w:bottom w:val="single" w:color="auto" w:sz="4" w:space="0"/>
              <w:right w:val="single" w:color="auto" w:sz="4" w:space="0"/>
            </w:tcBorders>
            <w:vAlign w:val="center"/>
          </w:tcPr>
          <w:p>
            <w:pPr>
              <w:adjustRightInd w:val="0"/>
              <w:snapToGrid w:val="0"/>
              <w:spacing w:line="340" w:lineRule="exact"/>
              <w:jc w:val="center"/>
              <w:rPr>
                <w:rFonts w:ascii="宋体" w:hAnsi="宋体" w:cs="宋体"/>
                <w:kern w:val="0"/>
                <w:sz w:val="18"/>
                <w:szCs w:val="18"/>
              </w:rPr>
            </w:pPr>
            <w:r>
              <w:rPr>
                <w:rFonts w:hint="eastAsia" w:ascii="宋体" w:hAnsi="宋体" w:cs="宋体"/>
                <w:kern w:val="0"/>
                <w:sz w:val="18"/>
                <w:szCs w:val="18"/>
              </w:rPr>
              <w:t>防水</w:t>
            </w:r>
          </w:p>
        </w:tc>
        <w:tc>
          <w:tcPr>
            <w:tcW w:w="1417" w:type="dxa"/>
            <w:tcBorders>
              <w:top w:val="single" w:color="auto" w:sz="4" w:space="0"/>
              <w:left w:val="nil"/>
              <w:bottom w:val="single" w:color="auto" w:sz="4" w:space="0"/>
              <w:right w:val="single" w:color="auto" w:sz="4" w:space="0"/>
            </w:tcBorders>
            <w:vAlign w:val="center"/>
          </w:tcPr>
          <w:p>
            <w:pPr>
              <w:adjustRightInd w:val="0"/>
              <w:snapToGrid w:val="0"/>
              <w:spacing w:line="340" w:lineRule="exact"/>
              <w:jc w:val="center"/>
              <w:rPr>
                <w:rFonts w:ascii="宋体" w:hAnsi="宋体" w:cs="宋体"/>
                <w:kern w:val="0"/>
                <w:sz w:val="18"/>
                <w:szCs w:val="18"/>
              </w:rPr>
            </w:pPr>
            <w:r>
              <w:rPr>
                <w:rFonts w:hint="eastAsia" w:ascii="宋体" w:hAnsi="宋体" w:cs="宋体"/>
                <w:kern w:val="0"/>
                <w:sz w:val="18"/>
                <w:szCs w:val="18"/>
              </w:rPr>
              <w:t>结构墙体隐蔽验收、防水层隐蔽验收</w:t>
            </w:r>
          </w:p>
        </w:tc>
        <w:tc>
          <w:tcPr>
            <w:tcW w:w="2693" w:type="dxa"/>
            <w:tcBorders>
              <w:top w:val="single" w:color="auto" w:sz="4" w:space="0"/>
              <w:left w:val="nil"/>
              <w:bottom w:val="single" w:color="auto" w:sz="4" w:space="0"/>
              <w:right w:val="single" w:color="auto" w:sz="4" w:space="0"/>
            </w:tcBorders>
            <w:vAlign w:val="center"/>
          </w:tcPr>
          <w:p>
            <w:pPr>
              <w:adjustRightInd w:val="0"/>
              <w:snapToGrid w:val="0"/>
              <w:spacing w:line="340" w:lineRule="exact"/>
              <w:rPr>
                <w:rFonts w:ascii="宋体" w:hAnsi="宋体" w:cs="宋体"/>
                <w:kern w:val="0"/>
                <w:sz w:val="18"/>
                <w:szCs w:val="18"/>
              </w:rPr>
            </w:pPr>
            <w:r>
              <w:rPr>
                <w:rFonts w:hint="eastAsia" w:ascii="宋体" w:hAnsi="宋体" w:cs="宋体"/>
                <w:kern w:val="0"/>
                <w:sz w:val="18"/>
                <w:szCs w:val="18"/>
              </w:rPr>
              <w:t>品牌、型号、合格证及复检报告、施工厚度、细部处理、施工缝及后浇带施工</w:t>
            </w:r>
          </w:p>
        </w:tc>
        <w:tc>
          <w:tcPr>
            <w:tcW w:w="1701" w:type="dxa"/>
            <w:tcBorders>
              <w:top w:val="single" w:color="auto" w:sz="4" w:space="0"/>
              <w:left w:val="nil"/>
              <w:bottom w:val="single" w:color="auto" w:sz="4" w:space="0"/>
              <w:right w:val="single" w:color="auto" w:sz="4" w:space="0"/>
            </w:tcBorders>
            <w:vAlign w:val="center"/>
          </w:tcPr>
          <w:p>
            <w:pPr>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single" w:color="auto" w:sz="4" w:space="0"/>
              <w:left w:val="nil"/>
              <w:bottom w:val="single" w:color="auto" w:sz="4" w:space="0"/>
              <w:right w:val="single" w:color="auto" w:sz="8" w:space="0"/>
            </w:tcBorders>
            <w:vAlign w:val="center"/>
          </w:tcPr>
          <w:p>
            <w:pPr>
              <w:adjustRightInd w:val="0"/>
              <w:snapToGrid w:val="0"/>
              <w:spacing w:line="340" w:lineRule="exact"/>
              <w:rPr>
                <w:rFonts w:ascii="宋体" w:hAnsi="宋体" w:cs="宋体"/>
                <w:kern w:val="0"/>
                <w:sz w:val="18"/>
                <w:szCs w:val="18"/>
              </w:rPr>
            </w:pPr>
            <w:r>
              <w:rPr>
                <w:rFonts w:hint="eastAsia" w:ascii="宋体" w:hAnsi="宋体" w:cs="宋体"/>
                <w:kern w:val="0"/>
                <w:sz w:val="18"/>
                <w:szCs w:val="18"/>
              </w:rPr>
              <w:t>全检</w:t>
            </w:r>
          </w:p>
        </w:tc>
      </w:tr>
      <w:tr>
        <w:tblPrEx>
          <w:tblCellMar>
            <w:top w:w="0" w:type="dxa"/>
            <w:left w:w="108" w:type="dxa"/>
            <w:bottom w:w="0" w:type="dxa"/>
            <w:right w:w="108" w:type="dxa"/>
          </w:tblCellMar>
        </w:tblPrEx>
        <w:trPr>
          <w:trHeight w:val="540" w:hRule="atLeast"/>
        </w:trPr>
        <w:tc>
          <w:tcPr>
            <w:tcW w:w="1147" w:type="dxa"/>
            <w:vMerge w:val="restart"/>
            <w:tcBorders>
              <w:top w:val="single" w:color="auto" w:sz="4" w:space="0"/>
              <w:left w:val="single" w:color="auto" w:sz="8" w:space="0"/>
              <w:right w:val="single" w:color="auto" w:sz="4" w:space="0"/>
            </w:tcBorders>
            <w:vAlign w:val="center"/>
          </w:tcPr>
          <w:p>
            <w:pPr>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主体</w:t>
            </w:r>
          </w:p>
          <w:p>
            <w:pPr>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结构</w:t>
            </w:r>
          </w:p>
        </w:tc>
        <w:tc>
          <w:tcPr>
            <w:tcW w:w="993" w:type="dxa"/>
            <w:tcBorders>
              <w:top w:val="single" w:color="auto" w:sz="4" w:space="0"/>
              <w:left w:val="nil"/>
              <w:bottom w:val="single" w:color="auto" w:sz="4" w:space="0"/>
              <w:right w:val="single" w:color="auto" w:sz="4" w:space="0"/>
            </w:tcBorders>
            <w:vAlign w:val="center"/>
          </w:tcPr>
          <w:p>
            <w:pPr>
              <w:widowControl/>
              <w:adjustRightInd w:val="0"/>
              <w:snapToGrid w:val="0"/>
              <w:spacing w:line="340" w:lineRule="exact"/>
              <w:jc w:val="center"/>
              <w:rPr>
                <w:rFonts w:ascii="宋体" w:hAnsi="宋体" w:cs="宋体"/>
                <w:kern w:val="0"/>
                <w:sz w:val="18"/>
                <w:szCs w:val="18"/>
              </w:rPr>
            </w:pPr>
            <w:r>
              <w:rPr>
                <w:rFonts w:hint="eastAsia" w:ascii="宋体" w:hAnsi="宋体" w:cs="宋体"/>
                <w:kern w:val="0"/>
                <w:sz w:val="18"/>
                <w:szCs w:val="18"/>
              </w:rPr>
              <w:t>钢筋工程</w:t>
            </w:r>
          </w:p>
        </w:tc>
        <w:tc>
          <w:tcPr>
            <w:tcW w:w="1417" w:type="dxa"/>
            <w:tcBorders>
              <w:top w:val="single" w:color="auto" w:sz="4" w:space="0"/>
              <w:left w:val="nil"/>
              <w:bottom w:val="single" w:color="auto" w:sz="4" w:space="0"/>
              <w:right w:val="single" w:color="auto" w:sz="4" w:space="0"/>
            </w:tcBorders>
            <w:vAlign w:val="center"/>
          </w:tcPr>
          <w:p>
            <w:pPr>
              <w:widowControl/>
              <w:adjustRightInd w:val="0"/>
              <w:snapToGrid w:val="0"/>
              <w:spacing w:line="340" w:lineRule="exact"/>
              <w:jc w:val="center"/>
              <w:rPr>
                <w:rFonts w:ascii="宋体" w:hAnsi="宋体" w:cs="宋体"/>
                <w:kern w:val="0"/>
                <w:sz w:val="18"/>
                <w:szCs w:val="18"/>
              </w:rPr>
            </w:pPr>
            <w:r>
              <w:rPr>
                <w:rFonts w:hint="eastAsia" w:ascii="宋体" w:hAnsi="宋体" w:cs="宋体"/>
                <w:kern w:val="0"/>
                <w:sz w:val="18"/>
                <w:szCs w:val="18"/>
              </w:rPr>
              <w:t>一层、标准层、屋面钢筋隐蔽验收</w:t>
            </w:r>
          </w:p>
        </w:tc>
        <w:tc>
          <w:tcPr>
            <w:tcW w:w="2693" w:type="dxa"/>
            <w:tcBorders>
              <w:top w:val="single" w:color="auto" w:sz="4" w:space="0"/>
              <w:left w:val="nil"/>
              <w:bottom w:val="single" w:color="auto" w:sz="4" w:space="0"/>
              <w:right w:val="single" w:color="auto" w:sz="4" w:space="0"/>
            </w:tcBorders>
            <w:vAlign w:val="center"/>
          </w:tcPr>
          <w:p>
            <w:pPr>
              <w:widowControl/>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钢筋规格、型号、焊接质量、连接是否符合图纸规范要求，剪力墙、管线预留预埋、梁板留洞处理，窗台挑板钢筋、成品保护（专项方案）、资料</w:t>
            </w:r>
          </w:p>
        </w:tc>
        <w:tc>
          <w:tcPr>
            <w:tcW w:w="1701" w:type="dxa"/>
            <w:tcBorders>
              <w:top w:val="single" w:color="auto" w:sz="4" w:space="0"/>
              <w:left w:val="nil"/>
              <w:bottom w:val="single" w:color="auto" w:sz="4" w:space="0"/>
              <w:right w:val="single" w:color="auto" w:sz="4" w:space="0"/>
            </w:tcBorders>
            <w:vAlign w:val="center"/>
          </w:tcPr>
          <w:p>
            <w:pPr>
              <w:widowControl/>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single" w:color="auto" w:sz="4" w:space="0"/>
              <w:left w:val="nil"/>
              <w:bottom w:val="single" w:color="auto" w:sz="4" w:space="0"/>
              <w:right w:val="single" w:color="auto" w:sz="8" w:space="0"/>
            </w:tcBorders>
            <w:vAlign w:val="center"/>
          </w:tcPr>
          <w:p>
            <w:pPr>
              <w:widowControl/>
              <w:adjustRightInd w:val="0"/>
              <w:snapToGrid w:val="0"/>
              <w:spacing w:line="340" w:lineRule="exact"/>
              <w:jc w:val="center"/>
              <w:rPr>
                <w:rFonts w:ascii="宋体" w:hAnsi="宋体" w:cs="宋体"/>
                <w:kern w:val="0"/>
                <w:sz w:val="18"/>
                <w:szCs w:val="18"/>
              </w:rPr>
            </w:pPr>
            <w:r>
              <w:rPr>
                <w:rFonts w:hint="eastAsia" w:ascii="宋体" w:hAnsi="宋体" w:cs="宋体"/>
                <w:kern w:val="0"/>
                <w:sz w:val="18"/>
                <w:szCs w:val="18"/>
              </w:rPr>
              <w:t>发包人工程师现场抽检50%</w:t>
            </w:r>
          </w:p>
        </w:tc>
      </w:tr>
      <w:tr>
        <w:tblPrEx>
          <w:tblCellMar>
            <w:top w:w="0" w:type="dxa"/>
            <w:left w:w="108" w:type="dxa"/>
            <w:bottom w:w="0" w:type="dxa"/>
            <w:right w:w="108" w:type="dxa"/>
          </w:tblCellMar>
        </w:tblPrEx>
        <w:trPr>
          <w:trHeight w:val="540"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jc w:val="center"/>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40" w:lineRule="exact"/>
              <w:jc w:val="center"/>
              <w:rPr>
                <w:rFonts w:ascii="宋体" w:hAnsi="宋体" w:cs="宋体"/>
                <w:kern w:val="0"/>
                <w:sz w:val="18"/>
                <w:szCs w:val="18"/>
              </w:rPr>
            </w:pPr>
            <w:r>
              <w:rPr>
                <w:rFonts w:hint="eastAsia" w:ascii="宋体" w:hAnsi="宋体" w:cs="宋体"/>
                <w:kern w:val="0"/>
                <w:sz w:val="18"/>
                <w:szCs w:val="18"/>
              </w:rPr>
              <w:t>模板工程</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一层、标准层、屋面模板验收</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模板尺寸及高差关系、垂直度、加固措施、建筑立面核对</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40" w:lineRule="exact"/>
              <w:jc w:val="center"/>
              <w:rPr>
                <w:rFonts w:ascii="宋体" w:hAnsi="宋体" w:cs="宋体"/>
                <w:kern w:val="0"/>
                <w:sz w:val="18"/>
                <w:szCs w:val="18"/>
              </w:rPr>
            </w:pPr>
            <w:r>
              <w:rPr>
                <w:rFonts w:hint="eastAsia" w:ascii="宋体" w:hAnsi="宋体" w:cs="宋体"/>
                <w:kern w:val="0"/>
                <w:sz w:val="18"/>
                <w:szCs w:val="18"/>
              </w:rPr>
              <w:t>发包人工程师现场抽检30%</w:t>
            </w:r>
          </w:p>
        </w:tc>
      </w:tr>
      <w:tr>
        <w:tblPrEx>
          <w:tblCellMar>
            <w:top w:w="0" w:type="dxa"/>
            <w:left w:w="108" w:type="dxa"/>
            <w:bottom w:w="0" w:type="dxa"/>
            <w:right w:w="108" w:type="dxa"/>
          </w:tblCellMar>
        </w:tblPrEx>
        <w:trPr>
          <w:trHeight w:val="720" w:hRule="atLeast"/>
        </w:trPr>
        <w:tc>
          <w:tcPr>
            <w:tcW w:w="1147" w:type="dxa"/>
            <w:vMerge w:val="continue"/>
            <w:tcBorders>
              <w:left w:val="single" w:color="auto" w:sz="8" w:space="0"/>
              <w:right w:val="single" w:color="auto" w:sz="4" w:space="0"/>
            </w:tcBorders>
            <w:vAlign w:val="center"/>
          </w:tcPr>
          <w:p>
            <w:pPr>
              <w:widowControl/>
              <w:adjustRightInd w:val="0"/>
              <w:snapToGrid w:val="0"/>
              <w:spacing w:line="300" w:lineRule="auto"/>
              <w:jc w:val="center"/>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混凝土</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一层、标准层、屋面浇筑</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原材料、浇筑方案、塌落度、混凝土成形效果</w:t>
            </w:r>
          </w:p>
        </w:tc>
        <w:tc>
          <w:tcPr>
            <w:tcW w:w="1701" w:type="dxa"/>
            <w:tcBorders>
              <w:top w:val="nil"/>
              <w:left w:val="nil"/>
              <w:bottom w:val="single" w:color="auto" w:sz="4" w:space="0"/>
              <w:right w:val="single" w:color="auto" w:sz="4"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旁站、填写旁站记录，对相关验收结论负责</w:t>
            </w:r>
          </w:p>
        </w:tc>
        <w:tc>
          <w:tcPr>
            <w:tcW w:w="1422" w:type="dxa"/>
            <w:tcBorders>
              <w:top w:val="nil"/>
              <w:left w:val="nil"/>
              <w:bottom w:val="single" w:color="auto" w:sz="4" w:space="0"/>
              <w:right w:val="single" w:color="auto" w:sz="8"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发包人工程师现场抽检50%</w:t>
            </w:r>
          </w:p>
        </w:tc>
      </w:tr>
      <w:tr>
        <w:tblPrEx>
          <w:tblCellMar>
            <w:top w:w="0" w:type="dxa"/>
            <w:left w:w="108" w:type="dxa"/>
            <w:bottom w:w="0" w:type="dxa"/>
            <w:right w:w="108" w:type="dxa"/>
          </w:tblCellMar>
        </w:tblPrEx>
        <w:trPr>
          <w:trHeight w:val="1031"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jc w:val="center"/>
              <w:rPr>
                <w:rFonts w:ascii="宋体" w:hAnsi="宋体" w:cs="宋体"/>
                <w:b/>
                <w:bCs/>
                <w:kern w:val="0"/>
                <w:sz w:val="18"/>
                <w:szCs w:val="18"/>
              </w:rPr>
            </w:pPr>
          </w:p>
        </w:tc>
        <w:tc>
          <w:tcPr>
            <w:tcW w:w="993" w:type="dxa"/>
            <w:tcBorders>
              <w:top w:val="single" w:color="auto" w:sz="4" w:space="0"/>
              <w:left w:val="nil"/>
              <w:bottom w:val="single" w:color="auto" w:sz="4" w:space="0"/>
              <w:right w:val="single" w:color="auto" w:sz="4"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楼层</w:t>
            </w:r>
          </w:p>
        </w:tc>
        <w:tc>
          <w:tcPr>
            <w:tcW w:w="1417" w:type="dxa"/>
            <w:tcBorders>
              <w:top w:val="single" w:color="auto" w:sz="4" w:space="0"/>
              <w:left w:val="nil"/>
              <w:bottom w:val="single" w:color="auto" w:sz="4" w:space="0"/>
              <w:right w:val="single" w:color="auto" w:sz="4"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一、二、三层、标准层</w:t>
            </w:r>
          </w:p>
        </w:tc>
        <w:tc>
          <w:tcPr>
            <w:tcW w:w="2693" w:type="dxa"/>
            <w:tcBorders>
              <w:top w:val="single" w:color="auto" w:sz="4" w:space="0"/>
              <w:left w:val="nil"/>
              <w:bottom w:val="single" w:color="auto" w:sz="4" w:space="0"/>
              <w:right w:val="single" w:color="auto" w:sz="4"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标高、轴线</w:t>
            </w:r>
          </w:p>
        </w:tc>
        <w:tc>
          <w:tcPr>
            <w:tcW w:w="1701" w:type="dxa"/>
            <w:tcBorders>
              <w:top w:val="single" w:color="auto" w:sz="4" w:space="0"/>
              <w:left w:val="nil"/>
              <w:bottom w:val="single" w:color="auto" w:sz="4" w:space="0"/>
              <w:right w:val="single" w:color="auto" w:sz="4"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single" w:color="auto" w:sz="4" w:space="0"/>
              <w:left w:val="nil"/>
              <w:bottom w:val="single" w:color="auto" w:sz="4" w:space="0"/>
              <w:right w:val="single" w:color="auto" w:sz="8"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发包人工程师现场抽检50%</w:t>
            </w:r>
          </w:p>
        </w:tc>
      </w:tr>
      <w:tr>
        <w:tblPrEx>
          <w:tblCellMar>
            <w:top w:w="0" w:type="dxa"/>
            <w:left w:w="108" w:type="dxa"/>
            <w:bottom w:w="0" w:type="dxa"/>
            <w:right w:w="108" w:type="dxa"/>
          </w:tblCellMar>
        </w:tblPrEx>
        <w:trPr>
          <w:trHeight w:val="705" w:hRule="atLeast"/>
        </w:trPr>
        <w:tc>
          <w:tcPr>
            <w:tcW w:w="1147" w:type="dxa"/>
            <w:vMerge w:val="continue"/>
            <w:tcBorders>
              <w:left w:val="single" w:color="auto" w:sz="8"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砌体围护</w:t>
            </w:r>
          </w:p>
        </w:tc>
        <w:tc>
          <w:tcPr>
            <w:tcW w:w="1417"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砌体样板点评</w:t>
            </w:r>
          </w:p>
        </w:tc>
        <w:tc>
          <w:tcPr>
            <w:tcW w:w="2693"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拉锚筋设置、垂直平整、开间控制、管道预埋、后塞口顶砖砌筑时间、构造柱设置、确定是否布置需要调整</w:t>
            </w:r>
          </w:p>
        </w:tc>
        <w:tc>
          <w:tcPr>
            <w:tcW w:w="1701"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全检、形成点评纪要</w:t>
            </w:r>
          </w:p>
        </w:tc>
        <w:tc>
          <w:tcPr>
            <w:tcW w:w="1422" w:type="dxa"/>
            <w:tcBorders>
              <w:top w:val="single" w:color="auto" w:sz="4" w:space="0"/>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w:t>
            </w:r>
          </w:p>
        </w:tc>
      </w:tr>
      <w:tr>
        <w:tblPrEx>
          <w:tblCellMar>
            <w:top w:w="0" w:type="dxa"/>
            <w:left w:w="108" w:type="dxa"/>
            <w:bottom w:w="0" w:type="dxa"/>
            <w:right w:w="108" w:type="dxa"/>
          </w:tblCellMar>
        </w:tblPrEx>
        <w:trPr>
          <w:trHeight w:val="540" w:hRule="atLeast"/>
        </w:trPr>
        <w:tc>
          <w:tcPr>
            <w:tcW w:w="1147" w:type="dxa"/>
            <w:vMerge w:val="continue"/>
            <w:tcBorders>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主体验收</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主体结构验收前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柱、墙、梁轴线、混凝土外观质量、混凝土强度、外观质量、过程资料、砌体质量</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发包人工程师现场抽检50%</w:t>
            </w:r>
          </w:p>
        </w:tc>
      </w:tr>
      <w:tr>
        <w:tblPrEx>
          <w:tblCellMar>
            <w:top w:w="0" w:type="dxa"/>
            <w:left w:w="108" w:type="dxa"/>
            <w:bottom w:w="0" w:type="dxa"/>
            <w:right w:w="108" w:type="dxa"/>
          </w:tblCellMar>
        </w:tblPrEx>
        <w:trPr>
          <w:trHeight w:val="540" w:hRule="atLeast"/>
        </w:trPr>
        <w:tc>
          <w:tcPr>
            <w:tcW w:w="1147" w:type="dxa"/>
            <w:vMerge w:val="restart"/>
            <w:tcBorders>
              <w:top w:val="single" w:color="auto" w:sz="4" w:space="0"/>
              <w:left w:val="single" w:color="auto" w:sz="8" w:space="0"/>
              <w:right w:val="single" w:color="auto" w:sz="4" w:space="0"/>
            </w:tcBorders>
            <w:vAlign w:val="center"/>
          </w:tcPr>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屋面</w:t>
            </w:r>
          </w:p>
        </w:tc>
        <w:tc>
          <w:tcPr>
            <w:tcW w:w="993"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保温找坡</w:t>
            </w:r>
          </w:p>
        </w:tc>
        <w:tc>
          <w:tcPr>
            <w:tcW w:w="1417"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保温找坡层</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保温找坡的坡度符合设计要求、排气道要按规范设置</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填写验收记录、对相关验收结论负责</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发包人工程师现场抽检50%</w:t>
            </w:r>
          </w:p>
        </w:tc>
      </w:tr>
      <w:tr>
        <w:tblPrEx>
          <w:tblCellMar>
            <w:top w:w="0" w:type="dxa"/>
            <w:left w:w="108" w:type="dxa"/>
            <w:bottom w:w="0" w:type="dxa"/>
            <w:right w:w="108" w:type="dxa"/>
          </w:tblCellMar>
        </w:tblPrEx>
        <w:trPr>
          <w:trHeight w:val="540"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jc w:val="center"/>
              <w:rPr>
                <w:rFonts w:ascii="宋体" w:hAnsi="宋体" w:cs="宋体"/>
                <w:b/>
                <w:bCs/>
                <w:kern w:val="0"/>
                <w:sz w:val="18"/>
                <w:szCs w:val="18"/>
              </w:rPr>
            </w:pPr>
          </w:p>
        </w:tc>
        <w:tc>
          <w:tcPr>
            <w:tcW w:w="99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配筋面层</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配筋面层钢筋隐蔽验收</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钢筋规格、型号、连接是否符合要求</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w:t>
            </w:r>
          </w:p>
        </w:tc>
      </w:tr>
      <w:tr>
        <w:tblPrEx>
          <w:tblCellMar>
            <w:top w:w="0" w:type="dxa"/>
            <w:left w:w="108" w:type="dxa"/>
            <w:bottom w:w="0" w:type="dxa"/>
            <w:right w:w="108" w:type="dxa"/>
          </w:tblCellMar>
        </w:tblPrEx>
        <w:trPr>
          <w:trHeight w:val="690" w:hRule="atLeast"/>
        </w:trPr>
        <w:tc>
          <w:tcPr>
            <w:tcW w:w="1147" w:type="dxa"/>
            <w:vMerge w:val="continue"/>
            <w:tcBorders>
              <w:left w:val="single" w:color="auto" w:sz="8"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1417"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分格缝设置</w:t>
            </w:r>
          </w:p>
        </w:tc>
        <w:tc>
          <w:tcPr>
            <w:tcW w:w="2693" w:type="dxa"/>
            <w:tcBorders>
              <w:top w:val="nil"/>
              <w:left w:val="nil"/>
              <w:bottom w:val="single" w:color="auto" w:sz="4" w:space="0"/>
              <w:right w:val="single" w:color="auto" w:sz="4"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分格缝设置应符合方案及规范要求且与保温找坡层对应</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发包人工程师现场抽检50%</w:t>
            </w:r>
          </w:p>
        </w:tc>
      </w:tr>
      <w:tr>
        <w:tblPrEx>
          <w:tblCellMar>
            <w:top w:w="0" w:type="dxa"/>
            <w:left w:w="108" w:type="dxa"/>
            <w:bottom w:w="0" w:type="dxa"/>
            <w:right w:w="108" w:type="dxa"/>
          </w:tblCellMar>
        </w:tblPrEx>
        <w:trPr>
          <w:trHeight w:val="1030"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jc w:val="center"/>
              <w:rPr>
                <w:rFonts w:ascii="宋体" w:hAnsi="宋体" w:cs="宋体"/>
                <w:b/>
                <w:bCs/>
                <w:kern w:val="0"/>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宋体" w:hAnsi="宋体" w:cs="宋体"/>
                <w:kern w:val="0"/>
                <w:sz w:val="18"/>
                <w:szCs w:val="18"/>
              </w:rPr>
            </w:pPr>
            <w:r>
              <w:rPr>
                <w:rFonts w:hint="eastAsia" w:ascii="宋体" w:hAnsi="宋体" w:cs="宋体"/>
                <w:kern w:val="0"/>
                <w:sz w:val="18"/>
                <w:szCs w:val="18"/>
              </w:rPr>
              <w:t>防水</w:t>
            </w:r>
          </w:p>
        </w:tc>
        <w:tc>
          <w:tcPr>
            <w:tcW w:w="1417" w:type="dxa"/>
            <w:tcBorders>
              <w:top w:val="single" w:color="auto" w:sz="4" w:space="0"/>
              <w:left w:val="nil"/>
              <w:bottom w:val="single" w:color="auto" w:sz="4" w:space="0"/>
              <w:right w:val="single" w:color="auto" w:sz="4" w:space="0"/>
            </w:tcBorders>
            <w:vAlign w:val="center"/>
          </w:tcPr>
          <w:p>
            <w:pPr>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屋面隐蔽验收，防水隐蔽验收</w:t>
            </w:r>
          </w:p>
        </w:tc>
        <w:tc>
          <w:tcPr>
            <w:tcW w:w="2693" w:type="dxa"/>
            <w:tcBorders>
              <w:top w:val="single" w:color="auto" w:sz="4" w:space="0"/>
              <w:left w:val="nil"/>
              <w:bottom w:val="single" w:color="auto" w:sz="4" w:space="0"/>
              <w:right w:val="single" w:color="auto" w:sz="4" w:space="0"/>
            </w:tcBorders>
            <w:vAlign w:val="center"/>
          </w:tcPr>
          <w:p>
            <w:pPr>
              <w:adjustRightInd w:val="0"/>
              <w:snapToGrid w:val="0"/>
              <w:spacing w:line="340" w:lineRule="exact"/>
              <w:rPr>
                <w:rFonts w:ascii="宋体" w:hAnsi="宋体" w:cs="宋体"/>
                <w:kern w:val="0"/>
                <w:sz w:val="18"/>
                <w:szCs w:val="18"/>
              </w:rPr>
            </w:pPr>
            <w:r>
              <w:rPr>
                <w:rFonts w:hint="eastAsia" w:ascii="宋体" w:hAnsi="宋体" w:cs="宋体"/>
                <w:kern w:val="0"/>
                <w:sz w:val="18"/>
                <w:szCs w:val="18"/>
              </w:rPr>
              <w:t>屋面泛水等细部的防水处理以及防水层的厚度检查、防水材料的检测报告</w:t>
            </w:r>
          </w:p>
        </w:tc>
        <w:tc>
          <w:tcPr>
            <w:tcW w:w="1701" w:type="dxa"/>
            <w:tcBorders>
              <w:top w:val="single" w:color="auto" w:sz="4" w:space="0"/>
              <w:left w:val="nil"/>
              <w:bottom w:val="single" w:color="auto" w:sz="4" w:space="0"/>
              <w:right w:val="single" w:color="auto" w:sz="4" w:space="0"/>
            </w:tcBorders>
            <w:vAlign w:val="center"/>
          </w:tcPr>
          <w:p>
            <w:pPr>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single" w:color="auto" w:sz="4" w:space="0"/>
              <w:left w:val="nil"/>
              <w:bottom w:val="single" w:color="auto" w:sz="4" w:space="0"/>
              <w:right w:val="single" w:color="auto" w:sz="8" w:space="0"/>
            </w:tcBorders>
            <w:vAlign w:val="center"/>
          </w:tcPr>
          <w:p>
            <w:pPr>
              <w:adjustRightInd w:val="0"/>
              <w:snapToGrid w:val="0"/>
              <w:spacing w:line="340" w:lineRule="exact"/>
              <w:jc w:val="center"/>
              <w:rPr>
                <w:rFonts w:ascii="宋体" w:hAnsi="宋体" w:cs="宋体"/>
                <w:kern w:val="0"/>
                <w:sz w:val="18"/>
                <w:szCs w:val="18"/>
              </w:rPr>
            </w:pPr>
            <w:r>
              <w:rPr>
                <w:rFonts w:hint="eastAsia" w:ascii="宋体" w:hAnsi="宋体" w:cs="宋体"/>
                <w:kern w:val="0"/>
                <w:sz w:val="18"/>
                <w:szCs w:val="18"/>
              </w:rPr>
              <w:t>发包人工程师现场抽检30%</w:t>
            </w:r>
          </w:p>
        </w:tc>
      </w:tr>
      <w:tr>
        <w:tblPrEx>
          <w:tblCellMar>
            <w:top w:w="0" w:type="dxa"/>
            <w:left w:w="108" w:type="dxa"/>
            <w:bottom w:w="0" w:type="dxa"/>
            <w:right w:w="108" w:type="dxa"/>
          </w:tblCellMar>
        </w:tblPrEx>
        <w:trPr>
          <w:trHeight w:val="480" w:hRule="atLeast"/>
        </w:trPr>
        <w:tc>
          <w:tcPr>
            <w:tcW w:w="1147" w:type="dxa"/>
            <w:vMerge w:val="continue"/>
            <w:tcBorders>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40" w:lineRule="exact"/>
              <w:jc w:val="center"/>
              <w:rPr>
                <w:rFonts w:ascii="宋体" w:hAnsi="宋体" w:cs="宋体"/>
                <w:kern w:val="0"/>
                <w:sz w:val="18"/>
                <w:szCs w:val="18"/>
              </w:rPr>
            </w:pPr>
            <w:r>
              <w:rPr>
                <w:rFonts w:hint="eastAsia" w:ascii="宋体" w:hAnsi="宋体" w:cs="宋体"/>
                <w:kern w:val="0"/>
                <w:sz w:val="18"/>
                <w:szCs w:val="18"/>
              </w:rPr>
              <w:t>整体淋水</w:t>
            </w:r>
          </w:p>
        </w:tc>
        <w:tc>
          <w:tcPr>
            <w:tcW w:w="1417" w:type="dxa"/>
            <w:tcBorders>
              <w:top w:val="single" w:color="auto" w:sz="4" w:space="0"/>
              <w:left w:val="nil"/>
              <w:bottom w:val="single" w:color="auto" w:sz="4" w:space="0"/>
              <w:right w:val="single" w:color="auto" w:sz="4" w:space="0"/>
            </w:tcBorders>
            <w:vAlign w:val="center"/>
          </w:tcPr>
          <w:p>
            <w:pPr>
              <w:widowControl/>
              <w:adjustRightInd w:val="0"/>
              <w:snapToGrid w:val="0"/>
              <w:spacing w:line="340" w:lineRule="exact"/>
              <w:jc w:val="center"/>
              <w:rPr>
                <w:rFonts w:ascii="宋体" w:hAnsi="宋体" w:cs="宋体"/>
                <w:kern w:val="0"/>
                <w:sz w:val="18"/>
                <w:szCs w:val="18"/>
              </w:rPr>
            </w:pPr>
            <w:r>
              <w:rPr>
                <w:rFonts w:hint="eastAsia" w:ascii="宋体" w:hAnsi="宋体" w:cs="宋体"/>
                <w:kern w:val="0"/>
                <w:sz w:val="18"/>
                <w:szCs w:val="18"/>
              </w:rPr>
              <w:t>淋水试验</w:t>
            </w:r>
          </w:p>
        </w:tc>
        <w:tc>
          <w:tcPr>
            <w:tcW w:w="2693" w:type="dxa"/>
            <w:tcBorders>
              <w:top w:val="single" w:color="auto" w:sz="4" w:space="0"/>
              <w:left w:val="nil"/>
              <w:bottom w:val="single" w:color="auto" w:sz="4" w:space="0"/>
              <w:right w:val="single" w:color="auto" w:sz="4" w:space="0"/>
            </w:tcBorders>
            <w:vAlign w:val="center"/>
          </w:tcPr>
          <w:p>
            <w:pPr>
              <w:widowControl/>
              <w:adjustRightInd w:val="0"/>
              <w:snapToGrid w:val="0"/>
              <w:spacing w:line="340" w:lineRule="exact"/>
              <w:jc w:val="center"/>
              <w:rPr>
                <w:rFonts w:ascii="宋体" w:hAnsi="宋体" w:cs="宋体"/>
                <w:kern w:val="0"/>
                <w:sz w:val="18"/>
                <w:szCs w:val="18"/>
              </w:rPr>
            </w:pPr>
            <w:r>
              <w:rPr>
                <w:rFonts w:hint="eastAsia" w:ascii="宋体" w:hAnsi="宋体" w:cs="宋体"/>
                <w:kern w:val="0"/>
                <w:sz w:val="18"/>
                <w:szCs w:val="18"/>
              </w:rPr>
              <w:t>淋水试验</w:t>
            </w:r>
          </w:p>
        </w:tc>
        <w:tc>
          <w:tcPr>
            <w:tcW w:w="1701" w:type="dxa"/>
            <w:tcBorders>
              <w:top w:val="single" w:color="auto" w:sz="4" w:space="0"/>
              <w:left w:val="nil"/>
              <w:bottom w:val="single" w:color="auto" w:sz="4" w:space="0"/>
              <w:right w:val="single" w:color="auto" w:sz="4" w:space="0"/>
            </w:tcBorders>
            <w:vAlign w:val="center"/>
          </w:tcPr>
          <w:p>
            <w:pPr>
              <w:widowControl/>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single" w:color="auto" w:sz="4" w:space="0"/>
              <w:left w:val="nil"/>
              <w:bottom w:val="single" w:color="auto" w:sz="4" w:space="0"/>
              <w:right w:val="single" w:color="auto" w:sz="8" w:space="0"/>
            </w:tcBorders>
            <w:vAlign w:val="center"/>
          </w:tcPr>
          <w:p>
            <w:pPr>
              <w:widowControl/>
              <w:adjustRightInd w:val="0"/>
              <w:snapToGrid w:val="0"/>
              <w:spacing w:line="340" w:lineRule="exact"/>
              <w:jc w:val="center"/>
              <w:rPr>
                <w:rFonts w:ascii="宋体" w:hAnsi="宋体" w:cs="宋体"/>
                <w:kern w:val="0"/>
                <w:sz w:val="18"/>
                <w:szCs w:val="18"/>
              </w:rPr>
            </w:pPr>
            <w:r>
              <w:rPr>
                <w:rFonts w:hint="eastAsia" w:ascii="宋体" w:hAnsi="宋体" w:cs="宋体"/>
                <w:kern w:val="0"/>
                <w:sz w:val="18"/>
                <w:szCs w:val="18"/>
              </w:rPr>
              <w:t>发包人工程师现场抽检50%</w:t>
            </w:r>
          </w:p>
        </w:tc>
      </w:tr>
      <w:tr>
        <w:tblPrEx>
          <w:tblCellMar>
            <w:top w:w="0" w:type="dxa"/>
            <w:left w:w="108" w:type="dxa"/>
            <w:bottom w:w="0" w:type="dxa"/>
            <w:right w:w="108" w:type="dxa"/>
          </w:tblCellMar>
        </w:tblPrEx>
        <w:trPr>
          <w:trHeight w:val="360" w:hRule="atLeast"/>
        </w:trPr>
        <w:tc>
          <w:tcPr>
            <w:tcW w:w="1147" w:type="dxa"/>
            <w:vMerge w:val="restart"/>
            <w:tcBorders>
              <w:top w:val="single" w:color="auto" w:sz="4" w:space="0"/>
              <w:left w:val="single" w:color="auto" w:sz="8" w:space="0"/>
              <w:right w:val="single" w:color="auto" w:sz="4" w:space="0"/>
            </w:tcBorders>
            <w:vAlign w:val="center"/>
          </w:tcPr>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建筑装饰</w:t>
            </w:r>
          </w:p>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装修</w:t>
            </w:r>
          </w:p>
          <w:p>
            <w:pPr>
              <w:adjustRightInd w:val="0"/>
              <w:snapToGrid w:val="0"/>
              <w:spacing w:line="300" w:lineRule="auto"/>
              <w:ind w:firstLine="266" w:firstLineChars="147"/>
              <w:jc w:val="left"/>
              <w:rPr>
                <w:rFonts w:ascii="宋体" w:hAnsi="宋体" w:cs="宋体"/>
                <w:b/>
                <w:bCs/>
                <w:kern w:val="0"/>
                <w:sz w:val="18"/>
                <w:szCs w:val="18"/>
              </w:rPr>
            </w:pPr>
          </w:p>
        </w:tc>
        <w:tc>
          <w:tcPr>
            <w:tcW w:w="993" w:type="dxa"/>
            <w:vMerge w:val="restart"/>
            <w:tcBorders>
              <w:top w:val="single" w:color="auto" w:sz="4" w:space="0"/>
              <w:left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外墙外保温</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基层处理</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垂直度、平整度，含水率、起砂控制情况</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全检、形成点评纪要</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发包人工程师现场抽检50%</w:t>
            </w:r>
          </w:p>
        </w:tc>
      </w:tr>
      <w:tr>
        <w:tblPrEx>
          <w:tblCellMar>
            <w:top w:w="0" w:type="dxa"/>
            <w:left w:w="108" w:type="dxa"/>
            <w:bottom w:w="0" w:type="dxa"/>
            <w:right w:w="108" w:type="dxa"/>
          </w:tblCellMar>
        </w:tblPrEx>
        <w:trPr>
          <w:trHeight w:val="720"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ind w:firstLine="266" w:firstLineChars="147"/>
              <w:jc w:val="left"/>
              <w:rPr>
                <w:rFonts w:ascii="宋体" w:hAnsi="宋体" w:cs="宋体"/>
                <w:b/>
                <w:bCs/>
                <w:kern w:val="0"/>
                <w:sz w:val="18"/>
                <w:szCs w:val="18"/>
              </w:rPr>
            </w:pPr>
          </w:p>
        </w:tc>
        <w:tc>
          <w:tcPr>
            <w:tcW w:w="993" w:type="dxa"/>
            <w:vMerge w:val="continue"/>
            <w:tcBorders>
              <w:left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保温岩棉</w:t>
            </w:r>
          </w:p>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（过程检查）</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外保温系统材料检验报告、岩棉厚度及施工工艺检查</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center"/>
              <w:rPr>
                <w:rFonts w:ascii="宋体" w:hAnsi="宋体" w:cs="宋体"/>
                <w:kern w:val="0"/>
                <w:sz w:val="18"/>
                <w:szCs w:val="18"/>
              </w:rPr>
            </w:pPr>
            <w:r>
              <w:rPr>
                <w:rFonts w:hint="eastAsia" w:ascii="宋体" w:hAnsi="宋体" w:cs="宋体"/>
                <w:kern w:val="0"/>
                <w:sz w:val="18"/>
                <w:szCs w:val="18"/>
              </w:rPr>
              <w:t>全检</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center"/>
              <w:rPr>
                <w:rFonts w:ascii="宋体" w:hAnsi="宋体" w:cs="宋体"/>
                <w:kern w:val="0"/>
                <w:sz w:val="18"/>
                <w:szCs w:val="18"/>
              </w:rPr>
            </w:pPr>
            <w:r>
              <w:rPr>
                <w:rFonts w:hint="eastAsia" w:ascii="宋体" w:hAnsi="宋体" w:cs="宋体"/>
                <w:kern w:val="0"/>
                <w:sz w:val="18"/>
                <w:szCs w:val="18"/>
              </w:rPr>
              <w:t>发包人工程师现场抽检50%</w:t>
            </w:r>
          </w:p>
        </w:tc>
      </w:tr>
      <w:tr>
        <w:tblPrEx>
          <w:tblCellMar>
            <w:top w:w="0" w:type="dxa"/>
            <w:left w:w="108" w:type="dxa"/>
            <w:bottom w:w="0" w:type="dxa"/>
            <w:right w:w="108" w:type="dxa"/>
          </w:tblCellMar>
        </w:tblPrEx>
        <w:trPr>
          <w:trHeight w:val="70"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ind w:firstLine="266" w:firstLineChars="147"/>
              <w:jc w:val="left"/>
              <w:rPr>
                <w:rFonts w:ascii="宋体" w:hAnsi="宋体" w:cs="宋体"/>
                <w:b/>
                <w:bCs/>
                <w:kern w:val="0"/>
                <w:sz w:val="18"/>
                <w:szCs w:val="18"/>
              </w:rPr>
            </w:pPr>
          </w:p>
        </w:tc>
        <w:tc>
          <w:tcPr>
            <w:tcW w:w="993" w:type="dxa"/>
            <w:vMerge w:val="restart"/>
            <w:tcBorders>
              <w:top w:val="single" w:color="auto" w:sz="4" w:space="0"/>
              <w:left w:val="single" w:color="auto" w:sz="4" w:space="0"/>
              <w:right w:val="single" w:color="auto" w:sz="4"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饰面板（砖）</w:t>
            </w:r>
          </w:p>
        </w:tc>
        <w:tc>
          <w:tcPr>
            <w:tcW w:w="1417" w:type="dxa"/>
            <w:vMerge w:val="restart"/>
            <w:tcBorders>
              <w:top w:val="single" w:color="auto" w:sz="4" w:space="0"/>
              <w:left w:val="nil"/>
              <w:right w:val="single" w:color="auto" w:sz="4"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排版完成后</w:t>
            </w:r>
          </w:p>
        </w:tc>
        <w:tc>
          <w:tcPr>
            <w:tcW w:w="2693" w:type="dxa"/>
            <w:vMerge w:val="restart"/>
            <w:tcBorders>
              <w:top w:val="single" w:color="auto" w:sz="4" w:space="0"/>
              <w:left w:val="nil"/>
              <w:right w:val="single" w:color="auto" w:sz="4"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分格、对缝</w:t>
            </w:r>
          </w:p>
        </w:tc>
        <w:tc>
          <w:tcPr>
            <w:tcW w:w="1701" w:type="dxa"/>
            <w:vMerge w:val="restart"/>
            <w:tcBorders>
              <w:top w:val="single" w:color="auto" w:sz="4" w:space="0"/>
              <w:left w:val="nil"/>
              <w:right w:val="single" w:color="auto" w:sz="4" w:space="0"/>
            </w:tcBorders>
            <w:vAlign w:val="center"/>
          </w:tcPr>
          <w:p>
            <w:pPr>
              <w:adjustRightInd w:val="0"/>
              <w:snapToGrid w:val="0"/>
              <w:spacing w:line="300" w:lineRule="auto"/>
              <w:jc w:val="center"/>
              <w:rPr>
                <w:rFonts w:ascii="宋体" w:hAnsi="宋体" w:cs="宋体"/>
                <w:kern w:val="0"/>
                <w:sz w:val="18"/>
                <w:szCs w:val="18"/>
              </w:rPr>
            </w:pPr>
            <w:r>
              <w:rPr>
                <w:rFonts w:hint="eastAsia" w:ascii="宋体" w:hAnsi="宋体" w:cs="宋体"/>
                <w:kern w:val="0"/>
                <w:sz w:val="18"/>
                <w:szCs w:val="18"/>
              </w:rPr>
              <w:t>全检</w:t>
            </w:r>
          </w:p>
        </w:tc>
        <w:tc>
          <w:tcPr>
            <w:tcW w:w="1422" w:type="dxa"/>
            <w:tcBorders>
              <w:top w:val="single" w:color="auto" w:sz="4" w:space="0"/>
              <w:left w:val="nil"/>
              <w:right w:val="single" w:color="auto" w:sz="8" w:space="0"/>
            </w:tcBorders>
            <w:vAlign w:val="center"/>
          </w:tcPr>
          <w:p>
            <w:pPr>
              <w:adjustRightInd w:val="0"/>
              <w:snapToGrid w:val="0"/>
              <w:spacing w:line="300" w:lineRule="auto"/>
              <w:jc w:val="center"/>
              <w:rPr>
                <w:rFonts w:ascii="宋体" w:hAnsi="宋体" w:cs="宋体"/>
                <w:kern w:val="0"/>
                <w:sz w:val="18"/>
                <w:szCs w:val="18"/>
              </w:rPr>
            </w:pPr>
            <w:r>
              <w:rPr>
                <w:rFonts w:hint="eastAsia" w:ascii="宋体" w:hAnsi="宋体" w:cs="宋体"/>
                <w:kern w:val="0"/>
                <w:sz w:val="18"/>
                <w:szCs w:val="18"/>
              </w:rPr>
              <w:t>全检</w:t>
            </w:r>
          </w:p>
        </w:tc>
      </w:tr>
      <w:tr>
        <w:tblPrEx>
          <w:tblCellMar>
            <w:top w:w="0" w:type="dxa"/>
            <w:left w:w="108" w:type="dxa"/>
            <w:bottom w:w="0" w:type="dxa"/>
            <w:right w:w="108" w:type="dxa"/>
          </w:tblCellMar>
        </w:tblPrEx>
        <w:trPr>
          <w:trHeight w:val="360"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ind w:firstLine="266" w:firstLineChars="147"/>
              <w:jc w:val="left"/>
              <w:rPr>
                <w:rFonts w:ascii="宋体" w:hAnsi="宋体" w:cs="宋体"/>
                <w:b/>
                <w:bCs/>
                <w:kern w:val="0"/>
                <w:sz w:val="18"/>
                <w:szCs w:val="18"/>
              </w:rPr>
            </w:pPr>
          </w:p>
        </w:tc>
        <w:tc>
          <w:tcPr>
            <w:tcW w:w="993"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1417" w:type="dxa"/>
            <w:vMerge w:val="continue"/>
            <w:tcBorders>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2693" w:type="dxa"/>
            <w:vMerge w:val="continue"/>
            <w:tcBorders>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1701" w:type="dxa"/>
            <w:vMerge w:val="continue"/>
            <w:tcBorders>
              <w:left w:val="nil"/>
              <w:bottom w:val="single" w:color="auto" w:sz="4" w:space="0"/>
              <w:right w:val="single" w:color="auto" w:sz="4" w:space="0"/>
            </w:tcBorders>
            <w:vAlign w:val="center"/>
          </w:tcPr>
          <w:p>
            <w:pPr>
              <w:widowControl/>
              <w:adjustRightInd w:val="0"/>
              <w:snapToGrid w:val="0"/>
              <w:spacing w:line="300" w:lineRule="auto"/>
              <w:jc w:val="center"/>
              <w:rPr>
                <w:rFonts w:ascii="宋体" w:hAnsi="宋体" w:cs="宋体"/>
                <w:kern w:val="0"/>
                <w:sz w:val="18"/>
                <w:szCs w:val="18"/>
              </w:rPr>
            </w:pP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both"/>
              <w:rPr>
                <w:rFonts w:ascii="宋体" w:hAnsi="宋体" w:cs="宋体"/>
                <w:kern w:val="0"/>
                <w:sz w:val="18"/>
                <w:szCs w:val="18"/>
              </w:rPr>
            </w:pPr>
          </w:p>
        </w:tc>
      </w:tr>
      <w:tr>
        <w:tblPrEx>
          <w:tblCellMar>
            <w:top w:w="0" w:type="dxa"/>
            <w:left w:w="108" w:type="dxa"/>
            <w:bottom w:w="0" w:type="dxa"/>
            <w:right w:w="108" w:type="dxa"/>
          </w:tblCellMar>
        </w:tblPrEx>
        <w:trPr>
          <w:trHeight w:val="360"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ind w:firstLine="266" w:firstLineChars="147"/>
              <w:jc w:val="left"/>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楼地面</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找平层施工完成</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检查找平层无起砂、空鼓现象</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center"/>
              <w:rPr>
                <w:rFonts w:ascii="宋体" w:hAnsi="宋体" w:cs="宋体"/>
                <w:kern w:val="0"/>
                <w:sz w:val="18"/>
                <w:szCs w:val="18"/>
              </w:rPr>
            </w:pPr>
            <w:r>
              <w:rPr>
                <w:rFonts w:hint="eastAsia" w:ascii="宋体" w:hAnsi="宋体" w:cs="宋体"/>
                <w:kern w:val="0"/>
                <w:sz w:val="18"/>
                <w:szCs w:val="18"/>
              </w:rPr>
              <w:t>全检</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center"/>
              <w:rPr>
                <w:rFonts w:ascii="宋体" w:hAnsi="宋体" w:cs="宋体"/>
                <w:kern w:val="0"/>
                <w:sz w:val="18"/>
                <w:szCs w:val="18"/>
              </w:rPr>
            </w:pPr>
            <w:r>
              <w:rPr>
                <w:rFonts w:hint="eastAsia" w:ascii="宋体" w:hAnsi="宋体" w:cs="宋体"/>
                <w:kern w:val="0"/>
                <w:sz w:val="18"/>
                <w:szCs w:val="18"/>
              </w:rPr>
              <w:t>全检</w:t>
            </w:r>
          </w:p>
        </w:tc>
      </w:tr>
      <w:tr>
        <w:tblPrEx>
          <w:tblCellMar>
            <w:top w:w="0" w:type="dxa"/>
            <w:left w:w="108" w:type="dxa"/>
            <w:bottom w:w="0" w:type="dxa"/>
            <w:right w:w="108" w:type="dxa"/>
          </w:tblCellMar>
        </w:tblPrEx>
        <w:trPr>
          <w:trHeight w:val="540"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ind w:firstLine="266" w:firstLineChars="147"/>
              <w:jc w:val="left"/>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涂料</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底漆涂刷前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基层处理、腻子施工质量</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center"/>
              <w:rPr>
                <w:rFonts w:ascii="宋体" w:hAnsi="宋体" w:cs="宋体"/>
                <w:kern w:val="0"/>
                <w:sz w:val="18"/>
                <w:szCs w:val="18"/>
              </w:rPr>
            </w:pPr>
            <w:r>
              <w:rPr>
                <w:rFonts w:hint="eastAsia" w:ascii="宋体" w:hAnsi="宋体" w:cs="宋体"/>
                <w:kern w:val="0"/>
                <w:sz w:val="18"/>
                <w:szCs w:val="18"/>
              </w:rPr>
              <w:t>全检</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center"/>
              <w:rPr>
                <w:rFonts w:ascii="宋体" w:hAnsi="宋体" w:cs="宋体"/>
                <w:kern w:val="0"/>
                <w:sz w:val="18"/>
                <w:szCs w:val="18"/>
              </w:rPr>
            </w:pPr>
            <w:r>
              <w:rPr>
                <w:rFonts w:hint="eastAsia" w:ascii="宋体" w:hAnsi="宋体" w:cs="宋体"/>
                <w:kern w:val="0"/>
                <w:sz w:val="18"/>
                <w:szCs w:val="18"/>
              </w:rPr>
              <w:t>全检</w:t>
            </w:r>
          </w:p>
        </w:tc>
      </w:tr>
      <w:tr>
        <w:tblPrEx>
          <w:tblCellMar>
            <w:top w:w="0" w:type="dxa"/>
            <w:left w:w="108" w:type="dxa"/>
            <w:bottom w:w="0" w:type="dxa"/>
            <w:right w:w="108" w:type="dxa"/>
          </w:tblCellMar>
        </w:tblPrEx>
        <w:trPr>
          <w:trHeight w:val="480"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ind w:firstLine="266" w:firstLineChars="147"/>
              <w:jc w:val="left"/>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门</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门框四周塞缝完成</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检查四周塞缝是否密实、是否达到防水要求</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center"/>
              <w:rPr>
                <w:rFonts w:ascii="宋体" w:hAnsi="宋体" w:cs="宋体"/>
                <w:kern w:val="0"/>
                <w:sz w:val="18"/>
                <w:szCs w:val="18"/>
              </w:rPr>
            </w:pPr>
            <w:r>
              <w:rPr>
                <w:rFonts w:hint="eastAsia" w:ascii="宋体" w:hAnsi="宋体" w:cs="宋体"/>
                <w:kern w:val="0"/>
                <w:sz w:val="18"/>
                <w:szCs w:val="18"/>
              </w:rPr>
              <w:t>全检</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center"/>
              <w:rPr>
                <w:rFonts w:ascii="宋体" w:hAnsi="宋体" w:cs="宋体"/>
                <w:kern w:val="0"/>
                <w:sz w:val="18"/>
                <w:szCs w:val="18"/>
              </w:rPr>
            </w:pPr>
            <w:r>
              <w:rPr>
                <w:rFonts w:hint="eastAsia" w:ascii="宋体" w:hAnsi="宋体" w:cs="宋体"/>
                <w:kern w:val="0"/>
                <w:sz w:val="18"/>
                <w:szCs w:val="18"/>
              </w:rPr>
              <w:t>全检</w:t>
            </w:r>
          </w:p>
        </w:tc>
      </w:tr>
      <w:tr>
        <w:tblPrEx>
          <w:tblCellMar>
            <w:top w:w="0" w:type="dxa"/>
            <w:left w:w="108" w:type="dxa"/>
            <w:bottom w:w="0" w:type="dxa"/>
            <w:right w:w="108" w:type="dxa"/>
          </w:tblCellMar>
        </w:tblPrEx>
        <w:trPr>
          <w:trHeight w:val="487"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ind w:firstLine="266" w:firstLineChars="147"/>
              <w:jc w:val="left"/>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栏杆安装</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连接点固定后</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栏杆的焊接点是否牢固</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center"/>
              <w:rPr>
                <w:rFonts w:ascii="宋体" w:hAnsi="宋体" w:cs="宋体"/>
                <w:kern w:val="0"/>
                <w:sz w:val="18"/>
                <w:szCs w:val="18"/>
              </w:rPr>
            </w:pPr>
            <w:r>
              <w:rPr>
                <w:rFonts w:hint="eastAsia" w:ascii="宋体" w:hAnsi="宋体" w:cs="宋体"/>
                <w:kern w:val="0"/>
                <w:sz w:val="18"/>
                <w:szCs w:val="18"/>
              </w:rPr>
              <w:t>全检</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center"/>
              <w:rPr>
                <w:rFonts w:ascii="宋体" w:hAnsi="宋体" w:cs="宋体"/>
                <w:kern w:val="0"/>
                <w:sz w:val="18"/>
                <w:szCs w:val="18"/>
              </w:rPr>
            </w:pPr>
            <w:r>
              <w:rPr>
                <w:rFonts w:hint="eastAsia" w:ascii="宋体" w:hAnsi="宋体" w:cs="宋体"/>
                <w:kern w:val="0"/>
                <w:sz w:val="18"/>
                <w:szCs w:val="18"/>
              </w:rPr>
              <w:t>全检</w:t>
            </w:r>
          </w:p>
        </w:tc>
      </w:tr>
      <w:tr>
        <w:tblPrEx>
          <w:tblCellMar>
            <w:top w:w="0" w:type="dxa"/>
            <w:left w:w="108" w:type="dxa"/>
            <w:bottom w:w="0" w:type="dxa"/>
            <w:right w:w="108" w:type="dxa"/>
          </w:tblCellMar>
        </w:tblPrEx>
        <w:trPr>
          <w:trHeight w:val="1011" w:hRule="atLeast"/>
        </w:trPr>
        <w:tc>
          <w:tcPr>
            <w:tcW w:w="1147" w:type="dxa"/>
            <w:vMerge w:val="continue"/>
            <w:tcBorders>
              <w:left w:val="single" w:color="auto" w:sz="8" w:space="0"/>
              <w:right w:val="single" w:color="auto" w:sz="4" w:space="0"/>
            </w:tcBorders>
            <w:vAlign w:val="center"/>
          </w:tcPr>
          <w:p>
            <w:pPr>
              <w:adjustRightInd w:val="0"/>
              <w:snapToGrid w:val="0"/>
              <w:spacing w:line="300" w:lineRule="auto"/>
              <w:ind w:firstLine="266" w:firstLineChars="147"/>
              <w:jc w:val="left"/>
              <w:rPr>
                <w:rFonts w:ascii="宋体" w:hAnsi="宋体" w:cs="宋体"/>
                <w:b/>
                <w:bCs/>
                <w:kern w:val="0"/>
                <w:sz w:val="18"/>
                <w:szCs w:val="18"/>
              </w:rPr>
            </w:pPr>
          </w:p>
        </w:tc>
        <w:tc>
          <w:tcPr>
            <w:tcW w:w="993" w:type="dxa"/>
            <w:tcBorders>
              <w:top w:val="single" w:color="auto" w:sz="4" w:space="0"/>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楼地面防水</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防水隐蔽</w:t>
            </w:r>
          </w:p>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验收</w:t>
            </w:r>
          </w:p>
        </w:tc>
        <w:tc>
          <w:tcPr>
            <w:tcW w:w="2693" w:type="dxa"/>
            <w:tcBorders>
              <w:top w:val="nil"/>
              <w:left w:val="nil"/>
              <w:bottom w:val="single" w:color="auto" w:sz="4" w:space="0"/>
              <w:right w:val="single" w:color="auto" w:sz="4"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按交底纪要及图说要求、防水工程验收规范、蓄水</w:t>
            </w:r>
          </w:p>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试验</w:t>
            </w:r>
          </w:p>
        </w:tc>
        <w:tc>
          <w:tcPr>
            <w:tcW w:w="1701" w:type="dxa"/>
            <w:tcBorders>
              <w:top w:val="nil"/>
              <w:left w:val="nil"/>
              <w:bottom w:val="single" w:color="auto" w:sz="4" w:space="0"/>
              <w:right w:val="single" w:color="auto" w:sz="4"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nil"/>
              <w:left w:val="nil"/>
              <w:bottom w:val="single" w:color="auto" w:sz="4" w:space="0"/>
              <w:right w:val="single" w:color="auto" w:sz="8" w:space="0"/>
            </w:tcBorders>
            <w:vAlign w:val="center"/>
          </w:tcPr>
          <w:p>
            <w:pPr>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发包人工程师现场抽检50%</w:t>
            </w:r>
          </w:p>
        </w:tc>
      </w:tr>
      <w:tr>
        <w:tblPrEx>
          <w:tblCellMar>
            <w:top w:w="0" w:type="dxa"/>
            <w:left w:w="108" w:type="dxa"/>
            <w:bottom w:w="0" w:type="dxa"/>
            <w:right w:w="108" w:type="dxa"/>
          </w:tblCellMar>
        </w:tblPrEx>
        <w:trPr>
          <w:trHeight w:val="540" w:hRule="atLeast"/>
        </w:trPr>
        <w:tc>
          <w:tcPr>
            <w:tcW w:w="1147" w:type="dxa"/>
            <w:vMerge w:val="continue"/>
            <w:tcBorders>
              <w:left w:val="single" w:color="auto" w:sz="8" w:space="0"/>
              <w:right w:val="single" w:color="auto" w:sz="4" w:space="0"/>
            </w:tcBorders>
            <w:vAlign w:val="center"/>
          </w:tcPr>
          <w:p>
            <w:pPr>
              <w:widowControl/>
              <w:adjustRightInd w:val="0"/>
              <w:snapToGrid w:val="0"/>
              <w:spacing w:line="300" w:lineRule="auto"/>
              <w:ind w:firstLine="266" w:firstLineChars="147"/>
              <w:jc w:val="left"/>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电梯门套等公共区域</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细部处理</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检查节点大样收口做法、确定细部是否需要调整</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w:t>
            </w:r>
          </w:p>
        </w:tc>
      </w:tr>
      <w:tr>
        <w:tblPrEx>
          <w:tblCellMar>
            <w:top w:w="0" w:type="dxa"/>
            <w:left w:w="108" w:type="dxa"/>
            <w:bottom w:w="0" w:type="dxa"/>
            <w:right w:w="108" w:type="dxa"/>
          </w:tblCellMar>
        </w:tblPrEx>
        <w:trPr>
          <w:trHeight w:val="540" w:hRule="atLeast"/>
        </w:trPr>
        <w:tc>
          <w:tcPr>
            <w:tcW w:w="1147" w:type="dxa"/>
            <w:vMerge w:val="continue"/>
            <w:tcBorders>
              <w:left w:val="single" w:color="auto" w:sz="8"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幕墙</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玻璃安装完成后</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确定节点大样做法、确定细部是否需要调整、玻璃打胶的质量</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发包人工程师现场抽检50%</w:t>
            </w:r>
          </w:p>
        </w:tc>
      </w:tr>
      <w:tr>
        <w:tblPrEx>
          <w:tblCellMar>
            <w:top w:w="0" w:type="dxa"/>
            <w:left w:w="108" w:type="dxa"/>
            <w:bottom w:w="0" w:type="dxa"/>
            <w:right w:w="108" w:type="dxa"/>
          </w:tblCellMar>
        </w:tblPrEx>
        <w:trPr>
          <w:trHeight w:val="340" w:hRule="atLeast"/>
        </w:trPr>
        <w:tc>
          <w:tcPr>
            <w:tcW w:w="1147" w:type="dxa"/>
            <w:vMerge w:val="continue"/>
            <w:tcBorders>
              <w:left w:val="single" w:color="auto" w:sz="8"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vMerge w:val="restart"/>
            <w:tcBorders>
              <w:top w:val="nil"/>
              <w:left w:val="nil"/>
              <w:right w:val="single" w:color="auto" w:sz="4" w:space="0"/>
            </w:tcBorders>
            <w:vAlign w:val="center"/>
          </w:tcPr>
          <w:p>
            <w:pPr>
              <w:widowControl/>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露台、卫生间防水</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基层隐蔽验收</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基层应牢固，表面洁净、平整，阴阳角处呈圆弧形或钝角</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全检</w:t>
            </w:r>
          </w:p>
        </w:tc>
      </w:tr>
      <w:tr>
        <w:tblPrEx>
          <w:tblCellMar>
            <w:top w:w="0" w:type="dxa"/>
            <w:left w:w="108" w:type="dxa"/>
            <w:bottom w:w="0" w:type="dxa"/>
            <w:right w:w="108" w:type="dxa"/>
          </w:tblCellMar>
        </w:tblPrEx>
        <w:trPr>
          <w:trHeight w:val="1220" w:hRule="atLeast"/>
        </w:trPr>
        <w:tc>
          <w:tcPr>
            <w:tcW w:w="1147" w:type="dxa"/>
            <w:vMerge w:val="continue"/>
            <w:tcBorders>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vMerge w:val="continue"/>
            <w:tcBorders>
              <w:left w:val="nil"/>
              <w:bottom w:val="single" w:color="auto" w:sz="4" w:space="0"/>
              <w:right w:val="single" w:color="auto" w:sz="4" w:space="0"/>
            </w:tcBorders>
            <w:vAlign w:val="center"/>
          </w:tcPr>
          <w:p>
            <w:pPr>
              <w:widowControl/>
              <w:adjustRightInd w:val="0"/>
              <w:snapToGrid w:val="0"/>
              <w:spacing w:line="340" w:lineRule="exact"/>
              <w:jc w:val="left"/>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防水层隐蔽验收</w:t>
            </w:r>
          </w:p>
        </w:tc>
        <w:tc>
          <w:tcPr>
            <w:tcW w:w="2693" w:type="dxa"/>
            <w:tcBorders>
              <w:top w:val="single" w:color="auto" w:sz="4" w:space="0"/>
              <w:left w:val="nil"/>
              <w:bottom w:val="single" w:color="auto" w:sz="4" w:space="0"/>
              <w:right w:val="single" w:color="auto" w:sz="4" w:space="0"/>
            </w:tcBorders>
            <w:vAlign w:val="center"/>
          </w:tcPr>
          <w:p>
            <w:pPr>
              <w:widowControl/>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防水材料粘结强度、厚度、细部处理、蓄水试验</w:t>
            </w:r>
          </w:p>
        </w:tc>
        <w:tc>
          <w:tcPr>
            <w:tcW w:w="1701" w:type="dxa"/>
            <w:tcBorders>
              <w:left w:val="nil"/>
              <w:bottom w:val="single" w:color="auto" w:sz="4" w:space="0"/>
              <w:right w:val="single" w:color="auto" w:sz="4" w:space="0"/>
            </w:tcBorders>
            <w:vAlign w:val="center"/>
          </w:tcPr>
          <w:p>
            <w:pPr>
              <w:widowControl/>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全检，填写验收记录，对相关验收结论负责</w:t>
            </w:r>
          </w:p>
        </w:tc>
        <w:tc>
          <w:tcPr>
            <w:tcW w:w="1422" w:type="dxa"/>
            <w:tcBorders>
              <w:top w:val="single" w:color="auto" w:sz="4" w:space="0"/>
              <w:left w:val="nil"/>
              <w:bottom w:val="single" w:color="auto" w:sz="4" w:space="0"/>
              <w:right w:val="single" w:color="auto" w:sz="8" w:space="0"/>
            </w:tcBorders>
            <w:vAlign w:val="center"/>
          </w:tcPr>
          <w:p>
            <w:pPr>
              <w:widowControl/>
              <w:adjustRightInd w:val="0"/>
              <w:snapToGrid w:val="0"/>
              <w:spacing w:line="340" w:lineRule="exact"/>
              <w:jc w:val="left"/>
              <w:rPr>
                <w:rFonts w:ascii="宋体" w:hAnsi="宋体" w:cs="宋体"/>
                <w:kern w:val="0"/>
                <w:sz w:val="18"/>
                <w:szCs w:val="18"/>
              </w:rPr>
            </w:pPr>
            <w:r>
              <w:rPr>
                <w:rFonts w:hint="eastAsia" w:ascii="宋体" w:hAnsi="宋体" w:cs="宋体"/>
                <w:kern w:val="0"/>
                <w:sz w:val="18"/>
                <w:szCs w:val="18"/>
              </w:rPr>
              <w:t>全检</w:t>
            </w:r>
          </w:p>
        </w:tc>
      </w:tr>
      <w:tr>
        <w:tblPrEx>
          <w:tblCellMar>
            <w:top w:w="0" w:type="dxa"/>
            <w:left w:w="108" w:type="dxa"/>
            <w:bottom w:w="0" w:type="dxa"/>
            <w:right w:w="108" w:type="dxa"/>
          </w:tblCellMar>
        </w:tblPrEx>
        <w:trPr>
          <w:trHeight w:val="540" w:hRule="atLeast"/>
        </w:trPr>
        <w:tc>
          <w:tcPr>
            <w:tcW w:w="1147" w:type="dxa"/>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机电预埋</w:t>
            </w: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预埋</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结构施工前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在预埋前必须有准确、合理的预埋固化图，位置，高度</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720" w:hRule="atLeast"/>
        </w:trPr>
        <w:tc>
          <w:tcPr>
            <w:tcW w:w="1147" w:type="dxa"/>
            <w:vMerge w:val="restart"/>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建筑给排水</w:t>
            </w: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室外排水（含雨污）管道系统</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室外雨污水管道回填前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测量复线、控制管基标高、回填质量，现场旁站检查接口、复测管顶标高、通球实验、充水实验。</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720"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室外给水管道系统</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室外给水管道回填前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测量复线、管道接口、阀门安装、室外消火栓安装，管道掩埋，管路（含阀门）水压实验、检查管基施工记录</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540"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室外给水管道完成后</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给水管网冲洗，消毒记录</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645"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室内给水管道系统</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室内给水管道隐蔽前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管路（含阀门）水压实验，现场检查管道支架安装、施工记录</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540"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室内给水管道系统完成后</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给水管网冲洗消毒记录、最不利点水压水量</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540"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室内排水（含雨污）管道系统</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室内排水（含雨污）管道隐蔽前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管路充水实验，现场检查管道坡度、支架安装、通球和通水记录。</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720"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卫生洁具的安装</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卫生洁具的安装前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检查器具水平与垂直度、通水实验、检查器具安装的牢固性。</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480"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水泵安装</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水泵安装前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检查泵位是否与基准线吻合，检查机座找平、泵与电机轴的同心度和水平度（垂直度）</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585"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水泵安装后</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水泵是否转动灵活无卡阻，检查水泵转向是否正确。</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720"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喷淋系统安装</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喷淋系统安装隐蔽前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检查管道支架安装间距和位置、喷头距柱梁壁位置，水泵安装检测，管道试压，末端试水检查，</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540"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喷淋系统完成后</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消防泵的试运转（含联动试车），检查最不利点喷头压力流量。</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810"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vMerge w:val="restart"/>
            <w:tcBorders>
              <w:top w:val="nil"/>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消火栓系统安装</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消火栓系统安装隐蔽前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检查消火栓箱及栓口距地高，检查管道支架间距，检查消防泵安装，系统试压（包括管路系统、水泵结合器、阀门）</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720"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消火栓系统完成后</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消防泵试运转（含联动试车）,检查最不利点水压及流量</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960" w:hRule="atLeast"/>
        </w:trPr>
        <w:tc>
          <w:tcPr>
            <w:tcW w:w="1147" w:type="dxa"/>
            <w:vMerge w:val="restart"/>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通风和</w:t>
            </w:r>
          </w:p>
          <w:p>
            <w:pPr>
              <w:widowControl/>
              <w:adjustRightInd w:val="0"/>
              <w:snapToGrid w:val="0"/>
              <w:spacing w:line="300" w:lineRule="auto"/>
              <w:jc w:val="center"/>
              <w:rPr>
                <w:rFonts w:ascii="宋体" w:hAnsi="宋体" w:cs="宋体"/>
                <w:b/>
                <w:bCs/>
                <w:kern w:val="0"/>
                <w:sz w:val="18"/>
                <w:szCs w:val="18"/>
              </w:rPr>
            </w:pPr>
            <w:r>
              <w:rPr>
                <w:rFonts w:hint="eastAsia" w:ascii="宋体" w:hAnsi="宋体" w:cs="宋体"/>
                <w:b/>
                <w:bCs/>
                <w:kern w:val="0"/>
                <w:sz w:val="18"/>
                <w:szCs w:val="18"/>
              </w:rPr>
              <w:t>空调</w:t>
            </w: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风管系统的安装</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大面积安装之前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风管：检查风管穿越防火、防爆墙或楼板是否有预埋管或防护管、间隙是否封堵、检查风管的严密性，风口、风帽等安装位置应正确，支架间距满足设计要求</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720"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通风设备安装</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安装前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通风机：检查型号规格满足设计要求，风机固定牢固，旋向正确。防护罩设置完整合理，隔振器安装平整，隔振支架结构和尺寸等满足要求。</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960"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系统调试</w:t>
            </w:r>
          </w:p>
        </w:tc>
        <w:tc>
          <w:tcPr>
            <w:tcW w:w="1417"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系统完成后</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仪表校验、线路、设备安装检查、检测仪表元件执行机构性能检查。风阀、水阀位置检查。通风机空调机组单机试运转及调试、电控防火、防排烟阀动作实验、通风风量测试调整</w:t>
            </w:r>
          </w:p>
        </w:tc>
        <w:tc>
          <w:tcPr>
            <w:tcW w:w="1701"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监理逐一验收</w:t>
            </w:r>
          </w:p>
        </w:tc>
        <w:tc>
          <w:tcPr>
            <w:tcW w:w="1422" w:type="dxa"/>
            <w:tcBorders>
              <w:top w:val="nil"/>
              <w:left w:val="nil"/>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480" w:hRule="atLeast"/>
        </w:trPr>
        <w:tc>
          <w:tcPr>
            <w:tcW w:w="1147" w:type="dxa"/>
            <w:vMerge w:val="restart"/>
            <w:tcBorders>
              <w:top w:val="nil"/>
              <w:left w:val="single" w:color="auto" w:sz="8" w:space="0"/>
              <w:bottom w:val="single" w:color="000000" w:sz="8" w:space="0"/>
              <w:right w:val="single" w:color="auto" w:sz="4" w:space="0"/>
            </w:tcBorders>
            <w:vAlign w:val="center"/>
          </w:tcPr>
          <w:p>
            <w:pPr>
              <w:widowControl/>
              <w:adjustRightInd w:val="0"/>
              <w:snapToGrid w:val="0"/>
              <w:spacing w:line="300" w:lineRule="auto"/>
              <w:jc w:val="center"/>
              <w:rPr>
                <w:rFonts w:ascii="宋体" w:hAnsi="宋体" w:cs="宋体"/>
                <w:b/>
                <w:kern w:val="0"/>
                <w:sz w:val="18"/>
                <w:szCs w:val="18"/>
              </w:rPr>
            </w:pPr>
            <w:r>
              <w:rPr>
                <w:rFonts w:hint="eastAsia" w:ascii="宋体" w:hAnsi="宋体" w:cs="宋体"/>
                <w:b/>
                <w:kern w:val="0"/>
                <w:sz w:val="18"/>
                <w:szCs w:val="18"/>
              </w:rPr>
              <w:t>建筑电气</w:t>
            </w: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配电箱的安装</w:t>
            </w:r>
          </w:p>
        </w:tc>
        <w:tc>
          <w:tcPr>
            <w:tcW w:w="1417" w:type="dxa"/>
            <w:vMerge w:val="restart"/>
            <w:tcBorders>
              <w:top w:val="nil"/>
              <w:left w:val="single" w:color="auto" w:sz="4" w:space="0"/>
              <w:bottom w:val="single" w:color="000000" w:sz="8"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安装之前</w:t>
            </w: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检查箱体标高、位置、水平度、垂直度和出墙厚度</w:t>
            </w:r>
          </w:p>
        </w:tc>
        <w:tc>
          <w:tcPr>
            <w:tcW w:w="1701" w:type="dxa"/>
            <w:vMerge w:val="restart"/>
            <w:tcBorders>
              <w:top w:val="nil"/>
              <w:left w:val="single" w:color="auto" w:sz="4" w:space="0"/>
              <w:bottom w:val="single" w:color="000000" w:sz="8"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监理必须根据优化图的指定位置逐个进行检查，合格后方可进入下道工序</w:t>
            </w:r>
          </w:p>
        </w:tc>
        <w:tc>
          <w:tcPr>
            <w:tcW w:w="1422" w:type="dxa"/>
            <w:vMerge w:val="restart"/>
            <w:tcBorders>
              <w:top w:val="nil"/>
              <w:left w:val="single" w:color="auto" w:sz="4" w:space="0"/>
              <w:bottom w:val="single" w:color="000000" w:sz="8"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发包人工程师现场抽查50%</w:t>
            </w:r>
          </w:p>
        </w:tc>
      </w:tr>
      <w:tr>
        <w:tblPrEx>
          <w:tblCellMar>
            <w:top w:w="0" w:type="dxa"/>
            <w:left w:w="108" w:type="dxa"/>
            <w:bottom w:w="0" w:type="dxa"/>
            <w:right w:w="108" w:type="dxa"/>
          </w:tblCellMar>
        </w:tblPrEx>
        <w:trPr>
          <w:trHeight w:val="480" w:hRule="atLeast"/>
        </w:trPr>
        <w:tc>
          <w:tcPr>
            <w:tcW w:w="1147" w:type="dxa"/>
            <w:vMerge w:val="continue"/>
            <w:tcBorders>
              <w:top w:val="nil"/>
              <w:left w:val="single" w:color="auto" w:sz="8" w:space="0"/>
              <w:bottom w:val="single" w:color="000000" w:sz="8" w:space="0"/>
              <w:right w:val="single" w:color="auto" w:sz="4" w:space="0"/>
            </w:tcBorders>
            <w:vAlign w:val="center"/>
          </w:tcPr>
          <w:p>
            <w:pPr>
              <w:widowControl/>
              <w:adjustRightInd w:val="0"/>
              <w:snapToGrid w:val="0"/>
              <w:spacing w:line="300" w:lineRule="auto"/>
              <w:jc w:val="center"/>
              <w:rPr>
                <w:rFonts w:ascii="宋体" w:hAnsi="宋体" w:cs="宋体"/>
                <w:b/>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灯具</w:t>
            </w:r>
          </w:p>
        </w:tc>
        <w:tc>
          <w:tcPr>
            <w:tcW w:w="1417" w:type="dxa"/>
            <w:vMerge w:val="continue"/>
            <w:tcBorders>
              <w:top w:val="nil"/>
              <w:left w:val="single" w:color="auto" w:sz="4" w:space="0"/>
              <w:bottom w:val="single" w:color="000000" w:sz="8"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检查灯具安装点位</w:t>
            </w:r>
          </w:p>
        </w:tc>
        <w:tc>
          <w:tcPr>
            <w:tcW w:w="1701" w:type="dxa"/>
            <w:vMerge w:val="continue"/>
            <w:tcBorders>
              <w:top w:val="nil"/>
              <w:left w:val="single" w:color="auto" w:sz="4" w:space="0"/>
              <w:bottom w:val="single" w:color="000000" w:sz="8"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1422" w:type="dxa"/>
            <w:vMerge w:val="continue"/>
            <w:tcBorders>
              <w:top w:val="nil"/>
              <w:left w:val="single" w:color="auto" w:sz="4" w:space="0"/>
              <w:bottom w:val="single" w:color="000000" w:sz="8"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p>
        </w:tc>
      </w:tr>
      <w:tr>
        <w:tblPrEx>
          <w:tblCellMar>
            <w:top w:w="0" w:type="dxa"/>
            <w:left w:w="108" w:type="dxa"/>
            <w:bottom w:w="0" w:type="dxa"/>
            <w:right w:w="108" w:type="dxa"/>
          </w:tblCellMar>
        </w:tblPrEx>
        <w:trPr>
          <w:trHeight w:val="480" w:hRule="atLeast"/>
        </w:trPr>
        <w:tc>
          <w:tcPr>
            <w:tcW w:w="1147" w:type="dxa"/>
            <w:vMerge w:val="continue"/>
            <w:tcBorders>
              <w:top w:val="nil"/>
              <w:left w:val="single" w:color="auto" w:sz="8" w:space="0"/>
              <w:bottom w:val="single" w:color="000000" w:sz="8"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防雷接地</w:t>
            </w:r>
          </w:p>
        </w:tc>
        <w:tc>
          <w:tcPr>
            <w:tcW w:w="1417" w:type="dxa"/>
            <w:vMerge w:val="continue"/>
            <w:tcBorders>
              <w:top w:val="nil"/>
              <w:left w:val="single" w:color="auto" w:sz="4" w:space="0"/>
              <w:bottom w:val="single" w:color="000000" w:sz="8"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所有接地网应严格按图纸和规范要求焊接，焊接的饱满度和搭接长度满足要求</w:t>
            </w:r>
          </w:p>
        </w:tc>
        <w:tc>
          <w:tcPr>
            <w:tcW w:w="1701" w:type="dxa"/>
            <w:vMerge w:val="continue"/>
            <w:tcBorders>
              <w:top w:val="nil"/>
              <w:left w:val="single" w:color="auto" w:sz="4" w:space="0"/>
              <w:bottom w:val="single" w:color="000000" w:sz="8"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1422" w:type="dxa"/>
            <w:vMerge w:val="continue"/>
            <w:tcBorders>
              <w:top w:val="nil"/>
              <w:left w:val="single" w:color="auto" w:sz="4" w:space="0"/>
              <w:bottom w:val="single" w:color="000000" w:sz="8"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p>
        </w:tc>
      </w:tr>
      <w:tr>
        <w:tblPrEx>
          <w:tblCellMar>
            <w:top w:w="0" w:type="dxa"/>
            <w:left w:w="108" w:type="dxa"/>
            <w:bottom w:w="0" w:type="dxa"/>
            <w:right w:w="108" w:type="dxa"/>
          </w:tblCellMar>
        </w:tblPrEx>
        <w:trPr>
          <w:trHeight w:val="958" w:hRule="atLeast"/>
        </w:trPr>
        <w:tc>
          <w:tcPr>
            <w:tcW w:w="1147" w:type="dxa"/>
            <w:vMerge w:val="continue"/>
            <w:tcBorders>
              <w:top w:val="nil"/>
              <w:left w:val="single" w:color="auto" w:sz="8"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b/>
                <w:bCs/>
                <w:kern w:val="0"/>
                <w:sz w:val="18"/>
                <w:szCs w:val="18"/>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开关、插座、有线电视、电话</w:t>
            </w:r>
          </w:p>
        </w:tc>
        <w:tc>
          <w:tcPr>
            <w:tcW w:w="1417"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2693" w:type="dxa"/>
            <w:tcBorders>
              <w:top w:val="nil"/>
              <w:left w:val="nil"/>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r>
              <w:rPr>
                <w:rFonts w:hint="eastAsia" w:ascii="宋体" w:hAnsi="宋体" w:cs="宋体"/>
                <w:kern w:val="0"/>
                <w:sz w:val="18"/>
                <w:szCs w:val="18"/>
              </w:rPr>
              <w:t>检查盒体标高、位置、平正和出墙厚度</w:t>
            </w:r>
          </w:p>
        </w:tc>
        <w:tc>
          <w:tcPr>
            <w:tcW w:w="1701"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spacing w:line="300" w:lineRule="auto"/>
              <w:jc w:val="left"/>
              <w:rPr>
                <w:rFonts w:ascii="宋体" w:hAnsi="宋体" w:cs="宋体"/>
                <w:kern w:val="0"/>
                <w:sz w:val="18"/>
                <w:szCs w:val="18"/>
              </w:rPr>
            </w:pPr>
          </w:p>
        </w:tc>
        <w:tc>
          <w:tcPr>
            <w:tcW w:w="1422" w:type="dxa"/>
            <w:vMerge w:val="continue"/>
            <w:tcBorders>
              <w:top w:val="nil"/>
              <w:left w:val="single" w:color="auto" w:sz="4" w:space="0"/>
              <w:bottom w:val="single" w:color="auto" w:sz="4" w:space="0"/>
              <w:right w:val="single" w:color="auto" w:sz="8" w:space="0"/>
            </w:tcBorders>
            <w:vAlign w:val="center"/>
          </w:tcPr>
          <w:p>
            <w:pPr>
              <w:widowControl/>
              <w:adjustRightInd w:val="0"/>
              <w:snapToGrid w:val="0"/>
              <w:spacing w:line="300" w:lineRule="auto"/>
              <w:jc w:val="left"/>
              <w:rPr>
                <w:rFonts w:ascii="宋体" w:hAnsi="宋体" w:cs="宋体"/>
                <w:kern w:val="0"/>
                <w:sz w:val="18"/>
                <w:szCs w:val="18"/>
              </w:rPr>
            </w:pPr>
          </w:p>
        </w:tc>
      </w:tr>
    </w:tbl>
    <w:p>
      <w:pPr>
        <w:pStyle w:val="3"/>
        <w:spacing w:before="0" w:after="0" w:line="276" w:lineRule="auto"/>
        <w:ind w:firstLine="413" w:firstLineChars="196"/>
        <w:rPr>
          <w:rFonts w:ascii="宋体" w:hAnsi="宋体"/>
          <w:sz w:val="21"/>
          <w:szCs w:val="21"/>
        </w:rPr>
      </w:pPr>
      <w:bookmarkStart w:id="173" w:name="_Toc405535564"/>
      <w:r>
        <w:rPr>
          <w:rFonts w:hint="eastAsia" w:ascii="宋体" w:hAnsi="宋体"/>
          <w:sz w:val="21"/>
          <w:szCs w:val="21"/>
        </w:rPr>
        <w:br w:type="page"/>
      </w:r>
      <w:bookmarkStart w:id="174" w:name="_Toc144459646"/>
      <w:r>
        <w:rPr>
          <w:rFonts w:hint="eastAsia" w:ascii="宋体" w:hAnsi="宋体"/>
          <w:sz w:val="21"/>
          <w:szCs w:val="21"/>
        </w:rPr>
        <w:t>8.5  相关表单</w:t>
      </w:r>
      <w:bookmarkEnd w:id="173"/>
      <w:bookmarkEnd w:id="174"/>
    </w:p>
    <w:p>
      <w:pPr>
        <w:spacing w:line="276" w:lineRule="auto"/>
        <w:jc w:val="center"/>
        <w:rPr>
          <w:rFonts w:ascii="宋体" w:hAnsi="宋体"/>
          <w:b/>
        </w:rPr>
      </w:pPr>
    </w:p>
    <w:p>
      <w:pPr>
        <w:spacing w:after="156" w:afterLines="50" w:line="360" w:lineRule="auto"/>
        <w:jc w:val="center"/>
        <w:rPr>
          <w:rFonts w:ascii="仿宋" w:hAnsi="仿宋" w:eastAsia="仿宋"/>
          <w:b/>
          <w:sz w:val="32"/>
          <w:szCs w:val="32"/>
        </w:rPr>
      </w:pPr>
      <w:r>
        <w:rPr>
          <w:rFonts w:hint="eastAsia" w:ascii="仿宋" w:hAnsi="仿宋" w:eastAsia="仿宋"/>
          <w:b/>
          <w:sz w:val="32"/>
          <w:szCs w:val="32"/>
        </w:rPr>
        <w:t>工程通知单</w:t>
      </w:r>
    </w:p>
    <w:tbl>
      <w:tblPr>
        <w:tblStyle w:val="22"/>
        <w:tblW w:w="9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7"/>
        <w:gridCol w:w="3385"/>
        <w:gridCol w:w="1934"/>
        <w:gridCol w:w="2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27" w:type="dxa"/>
            <w:vAlign w:val="center"/>
          </w:tcPr>
          <w:p>
            <w:pPr>
              <w:spacing w:line="360" w:lineRule="auto"/>
              <w:jc w:val="center"/>
              <w:rPr>
                <w:rFonts w:ascii="仿宋" w:hAnsi="仿宋" w:eastAsia="仿宋"/>
                <w:b/>
                <w:sz w:val="24"/>
              </w:rPr>
            </w:pPr>
            <w:r>
              <w:rPr>
                <w:rFonts w:hint="eastAsia" w:ascii="仿宋" w:hAnsi="仿宋" w:eastAsia="仿宋"/>
                <w:b/>
                <w:sz w:val="24"/>
              </w:rPr>
              <w:t>项目名称</w:t>
            </w:r>
          </w:p>
        </w:tc>
        <w:tc>
          <w:tcPr>
            <w:tcW w:w="3385" w:type="dxa"/>
            <w:vAlign w:val="center"/>
          </w:tcPr>
          <w:p>
            <w:pPr>
              <w:spacing w:line="360" w:lineRule="auto"/>
              <w:jc w:val="center"/>
              <w:rPr>
                <w:rFonts w:ascii="仿宋" w:hAnsi="仿宋" w:eastAsia="仿宋"/>
                <w:b/>
                <w:sz w:val="24"/>
              </w:rPr>
            </w:pPr>
          </w:p>
        </w:tc>
        <w:tc>
          <w:tcPr>
            <w:tcW w:w="1934" w:type="dxa"/>
            <w:vAlign w:val="center"/>
          </w:tcPr>
          <w:p>
            <w:pPr>
              <w:spacing w:line="360" w:lineRule="auto"/>
              <w:jc w:val="center"/>
              <w:rPr>
                <w:rFonts w:ascii="仿宋" w:hAnsi="仿宋" w:eastAsia="仿宋"/>
                <w:b/>
                <w:sz w:val="24"/>
              </w:rPr>
            </w:pPr>
            <w:r>
              <w:rPr>
                <w:rFonts w:hint="eastAsia" w:ascii="仿宋" w:hAnsi="仿宋" w:eastAsia="仿宋"/>
                <w:b/>
                <w:sz w:val="24"/>
              </w:rPr>
              <w:t>归属合同编号</w:t>
            </w:r>
          </w:p>
        </w:tc>
        <w:tc>
          <w:tcPr>
            <w:tcW w:w="2435" w:type="dxa"/>
            <w:vAlign w:val="center"/>
          </w:tcPr>
          <w:p>
            <w:pPr>
              <w:spacing w:line="360" w:lineRule="auto"/>
              <w:jc w:val="center"/>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27" w:type="dxa"/>
            <w:vAlign w:val="center"/>
          </w:tcPr>
          <w:p>
            <w:pPr>
              <w:spacing w:line="360" w:lineRule="auto"/>
              <w:jc w:val="center"/>
              <w:rPr>
                <w:rFonts w:ascii="仿宋" w:hAnsi="仿宋" w:eastAsia="仿宋"/>
                <w:b/>
                <w:sz w:val="24"/>
              </w:rPr>
            </w:pPr>
            <w:r>
              <w:rPr>
                <w:rFonts w:hint="eastAsia" w:ascii="仿宋" w:hAnsi="仿宋" w:eastAsia="仿宋"/>
                <w:b/>
                <w:sz w:val="24"/>
              </w:rPr>
              <w:t>工程名称</w:t>
            </w:r>
          </w:p>
        </w:tc>
        <w:tc>
          <w:tcPr>
            <w:tcW w:w="3385" w:type="dxa"/>
            <w:vAlign w:val="center"/>
          </w:tcPr>
          <w:p>
            <w:pPr>
              <w:spacing w:line="360" w:lineRule="auto"/>
              <w:jc w:val="center"/>
              <w:rPr>
                <w:rFonts w:ascii="仿宋" w:hAnsi="仿宋" w:eastAsia="仿宋"/>
                <w:b/>
                <w:sz w:val="24"/>
              </w:rPr>
            </w:pPr>
          </w:p>
        </w:tc>
        <w:tc>
          <w:tcPr>
            <w:tcW w:w="1934" w:type="dxa"/>
            <w:vAlign w:val="center"/>
          </w:tcPr>
          <w:p>
            <w:pPr>
              <w:spacing w:line="360" w:lineRule="auto"/>
              <w:jc w:val="center"/>
              <w:rPr>
                <w:rFonts w:ascii="仿宋" w:hAnsi="仿宋" w:eastAsia="仿宋"/>
                <w:b/>
                <w:sz w:val="24"/>
              </w:rPr>
            </w:pPr>
            <w:r>
              <w:rPr>
                <w:rFonts w:hint="eastAsia" w:ascii="仿宋" w:hAnsi="仿宋" w:eastAsia="仿宋"/>
                <w:b/>
                <w:sz w:val="24"/>
              </w:rPr>
              <w:t>内部申请单编号</w:t>
            </w:r>
          </w:p>
        </w:tc>
        <w:tc>
          <w:tcPr>
            <w:tcW w:w="2435" w:type="dxa"/>
            <w:vAlign w:val="center"/>
          </w:tcPr>
          <w:p>
            <w:pPr>
              <w:spacing w:line="360" w:lineRule="auto"/>
              <w:jc w:val="center"/>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27" w:type="dxa"/>
            <w:vAlign w:val="center"/>
          </w:tcPr>
          <w:p>
            <w:pPr>
              <w:spacing w:line="360" w:lineRule="auto"/>
              <w:jc w:val="center"/>
              <w:rPr>
                <w:rFonts w:ascii="仿宋" w:hAnsi="仿宋" w:eastAsia="仿宋"/>
                <w:b/>
                <w:sz w:val="24"/>
              </w:rPr>
            </w:pPr>
            <w:r>
              <w:rPr>
                <w:rFonts w:hint="eastAsia" w:ascii="仿宋" w:hAnsi="仿宋" w:eastAsia="仿宋"/>
                <w:b/>
                <w:sz w:val="24"/>
              </w:rPr>
              <w:t>发文时间</w:t>
            </w:r>
          </w:p>
        </w:tc>
        <w:tc>
          <w:tcPr>
            <w:tcW w:w="3385" w:type="dxa"/>
            <w:vAlign w:val="center"/>
          </w:tcPr>
          <w:p>
            <w:pPr>
              <w:spacing w:line="360" w:lineRule="auto"/>
              <w:jc w:val="center"/>
              <w:rPr>
                <w:rFonts w:ascii="仿宋" w:hAnsi="仿宋" w:eastAsia="仿宋"/>
                <w:b/>
                <w:sz w:val="24"/>
              </w:rPr>
            </w:pPr>
          </w:p>
        </w:tc>
        <w:tc>
          <w:tcPr>
            <w:tcW w:w="1934" w:type="dxa"/>
            <w:vAlign w:val="center"/>
          </w:tcPr>
          <w:p>
            <w:pPr>
              <w:spacing w:line="360" w:lineRule="auto"/>
              <w:jc w:val="center"/>
              <w:rPr>
                <w:rFonts w:ascii="仿宋" w:hAnsi="仿宋" w:eastAsia="仿宋"/>
                <w:b/>
                <w:sz w:val="24"/>
              </w:rPr>
            </w:pPr>
            <w:r>
              <w:rPr>
                <w:rFonts w:hint="eastAsia" w:ascii="仿宋" w:hAnsi="仿宋" w:eastAsia="仿宋"/>
                <w:b/>
                <w:sz w:val="24"/>
              </w:rPr>
              <w:t>通知单编号</w:t>
            </w:r>
          </w:p>
        </w:tc>
        <w:tc>
          <w:tcPr>
            <w:tcW w:w="2435" w:type="dxa"/>
            <w:vAlign w:val="center"/>
          </w:tcPr>
          <w:p>
            <w:pPr>
              <w:spacing w:line="360" w:lineRule="auto"/>
              <w:jc w:val="center"/>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restart"/>
            <w:vAlign w:val="center"/>
          </w:tcPr>
          <w:p>
            <w:pPr>
              <w:spacing w:line="360" w:lineRule="auto"/>
              <w:jc w:val="center"/>
              <w:rPr>
                <w:rFonts w:ascii="仿宋" w:hAnsi="仿宋" w:eastAsia="仿宋"/>
                <w:b/>
                <w:sz w:val="24"/>
              </w:rPr>
            </w:pPr>
            <w:r>
              <w:rPr>
                <w:rFonts w:hint="eastAsia" w:ascii="仿宋" w:hAnsi="仿宋" w:eastAsia="仿宋"/>
                <w:b/>
                <w:sz w:val="24"/>
              </w:rPr>
              <w:t>发送单位</w:t>
            </w:r>
          </w:p>
        </w:tc>
        <w:tc>
          <w:tcPr>
            <w:tcW w:w="7754" w:type="dxa"/>
            <w:gridSpan w:val="3"/>
          </w:tcPr>
          <w:p>
            <w:pPr>
              <w:spacing w:line="360" w:lineRule="auto"/>
              <w:jc w:val="center"/>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Pr>
          <w:p>
            <w:pPr>
              <w:spacing w:line="360" w:lineRule="auto"/>
              <w:rPr>
                <w:rFonts w:ascii="仿宋" w:hAnsi="仿宋" w:eastAsia="仿宋"/>
                <w:b/>
                <w:sz w:val="24"/>
              </w:rPr>
            </w:pPr>
          </w:p>
        </w:tc>
        <w:tc>
          <w:tcPr>
            <w:tcW w:w="7754" w:type="dxa"/>
            <w:gridSpan w:val="3"/>
          </w:tcPr>
          <w:p>
            <w:pPr>
              <w:spacing w:line="360" w:lineRule="auto"/>
              <w:jc w:val="center"/>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Merge w:val="continue"/>
          </w:tcPr>
          <w:p>
            <w:pPr>
              <w:spacing w:line="360" w:lineRule="auto"/>
              <w:rPr>
                <w:rFonts w:ascii="仿宋" w:hAnsi="仿宋" w:eastAsia="仿宋"/>
                <w:b/>
                <w:sz w:val="24"/>
              </w:rPr>
            </w:pPr>
          </w:p>
        </w:tc>
        <w:tc>
          <w:tcPr>
            <w:tcW w:w="7754" w:type="dxa"/>
            <w:gridSpan w:val="3"/>
          </w:tcPr>
          <w:p>
            <w:pPr>
              <w:spacing w:line="360" w:lineRule="auto"/>
              <w:jc w:val="center"/>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Borders>
              <w:bottom w:val="single" w:color="auto" w:sz="4" w:space="0"/>
            </w:tcBorders>
          </w:tcPr>
          <w:p>
            <w:pPr>
              <w:spacing w:line="360" w:lineRule="auto"/>
              <w:jc w:val="center"/>
              <w:rPr>
                <w:rFonts w:ascii="仿宋" w:hAnsi="仿宋" w:eastAsia="仿宋"/>
                <w:b/>
                <w:sz w:val="24"/>
              </w:rPr>
            </w:pPr>
            <w:r>
              <w:rPr>
                <w:rFonts w:hint="eastAsia" w:ascii="仿宋" w:hAnsi="仿宋" w:eastAsia="仿宋"/>
                <w:b/>
                <w:sz w:val="24"/>
              </w:rPr>
              <w:t>抄送单位</w:t>
            </w:r>
          </w:p>
        </w:tc>
        <w:tc>
          <w:tcPr>
            <w:tcW w:w="7754" w:type="dxa"/>
            <w:gridSpan w:val="3"/>
            <w:tcBorders>
              <w:bottom w:val="single" w:color="auto" w:sz="4" w:space="0"/>
            </w:tcBorders>
          </w:tcPr>
          <w:p>
            <w:pPr>
              <w:spacing w:line="360" w:lineRule="auto"/>
              <w:jc w:val="center"/>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1327" w:type="dxa"/>
            <w:vAlign w:val="center"/>
          </w:tcPr>
          <w:p>
            <w:pPr>
              <w:spacing w:line="360" w:lineRule="auto"/>
              <w:jc w:val="center"/>
              <w:rPr>
                <w:rFonts w:ascii="仿宋" w:hAnsi="仿宋" w:eastAsia="仿宋"/>
                <w:b/>
                <w:sz w:val="24"/>
              </w:rPr>
            </w:pPr>
            <w:r>
              <w:rPr>
                <w:rFonts w:hint="eastAsia" w:ascii="仿宋" w:hAnsi="仿宋" w:eastAsia="仿宋"/>
                <w:b/>
                <w:sz w:val="24"/>
              </w:rPr>
              <w:t>主题</w:t>
            </w:r>
          </w:p>
        </w:tc>
        <w:tc>
          <w:tcPr>
            <w:tcW w:w="7754" w:type="dxa"/>
            <w:gridSpan w:val="3"/>
            <w:vAlign w:val="center"/>
          </w:tcPr>
          <w:p>
            <w:pPr>
              <w:spacing w:line="360" w:lineRule="auto"/>
              <w:jc w:val="center"/>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7" w:type="dxa"/>
            <w:vAlign w:val="center"/>
          </w:tcPr>
          <w:p>
            <w:pPr>
              <w:spacing w:line="360" w:lineRule="auto"/>
              <w:jc w:val="center"/>
              <w:rPr>
                <w:rFonts w:ascii="仿宋" w:hAnsi="仿宋" w:eastAsia="仿宋"/>
                <w:b/>
                <w:sz w:val="24"/>
              </w:rPr>
            </w:pPr>
            <w:r>
              <w:rPr>
                <w:rFonts w:hint="eastAsia" w:ascii="仿宋" w:hAnsi="仿宋" w:eastAsia="仿宋"/>
                <w:b/>
                <w:sz w:val="24"/>
              </w:rPr>
              <w:t>内容</w:t>
            </w:r>
          </w:p>
        </w:tc>
        <w:tc>
          <w:tcPr>
            <w:tcW w:w="7754" w:type="dxa"/>
            <w:gridSpan w:val="3"/>
          </w:tcPr>
          <w:p>
            <w:pPr>
              <w:rPr>
                <w:rFonts w:ascii="仿宋" w:hAnsi="仿宋" w:eastAsia="仿宋" w:cs="仿宋"/>
                <w:i/>
              </w:rPr>
            </w:pPr>
            <w:r>
              <w:rPr>
                <w:rFonts w:hint="eastAsia" w:ascii="仿宋" w:hAnsi="仿宋" w:eastAsia="仿宋" w:cs="仿宋"/>
                <w:i/>
              </w:rPr>
              <w:t>（</w:t>
            </w:r>
            <w:r>
              <w:rPr>
                <w:rFonts w:hint="eastAsia" w:ascii="仿宋" w:hAnsi="仿宋" w:eastAsia="仿宋" w:cs="仿宋"/>
                <w:i/>
                <w:color w:val="7F7F7F" w:themeColor="background1" w:themeShade="80"/>
              </w:rPr>
              <w:t>此页可另加附页，详细说明</w:t>
            </w:r>
            <w:r>
              <w:rPr>
                <w:rFonts w:hint="eastAsia" w:ascii="仿宋" w:hAnsi="仿宋" w:eastAsia="仿宋" w:cs="仿宋"/>
                <w:i/>
              </w:rPr>
              <w:t>施工具体内容、部位、</w:t>
            </w:r>
            <w:r>
              <w:rPr>
                <w:rFonts w:hint="eastAsia" w:ascii="仿宋" w:hAnsi="仿宋" w:eastAsia="仿宋" w:cs="仿宋"/>
                <w:i/>
                <w:color w:val="7F7F7F" w:themeColor="background1" w:themeShade="80"/>
              </w:rPr>
              <w:t>施工方法、工程量、工日、</w:t>
            </w:r>
            <w:r>
              <w:rPr>
                <w:rFonts w:hint="eastAsia" w:ascii="仿宋" w:hAnsi="仿宋" w:eastAsia="仿宋" w:cs="仿宋"/>
                <w:i/>
              </w:rPr>
              <w:t>附图（包括但不限于施工工艺、材料设备品牌、规格等技术参数）</w:t>
            </w:r>
            <w:r>
              <w:rPr>
                <w:rFonts w:hint="eastAsia" w:ascii="仿宋" w:hAnsi="仿宋" w:eastAsia="仿宋" w:cs="仿宋"/>
                <w:i/>
                <w:color w:val="7F7F7F" w:themeColor="background1" w:themeShade="80"/>
              </w:rPr>
              <w:t>等，如无所述各项，填写说明具体事项</w:t>
            </w:r>
            <w:r>
              <w:rPr>
                <w:rFonts w:hint="eastAsia" w:ascii="仿宋" w:hAnsi="仿宋" w:eastAsia="仿宋" w:cs="仿宋"/>
                <w:i/>
              </w:rPr>
              <w:t>）</w:t>
            </w:r>
          </w:p>
          <w:p>
            <w:pPr>
              <w:spacing w:line="360" w:lineRule="auto"/>
              <w:jc w:val="left"/>
              <w:rPr>
                <w:rFonts w:ascii="仿宋" w:hAnsi="仿宋" w:eastAsia="仿宋"/>
                <w:b/>
                <w:sz w:val="24"/>
              </w:rPr>
            </w:pPr>
          </w:p>
          <w:p>
            <w:pPr>
              <w:spacing w:line="360" w:lineRule="auto"/>
              <w:jc w:val="left"/>
              <w:rPr>
                <w:rFonts w:ascii="仿宋" w:hAnsi="仿宋" w:eastAsia="仿宋"/>
                <w:b/>
                <w:sz w:val="24"/>
              </w:rPr>
            </w:pPr>
          </w:p>
          <w:p>
            <w:pPr>
              <w:spacing w:line="360" w:lineRule="auto"/>
              <w:jc w:val="left"/>
              <w:rPr>
                <w:rFonts w:ascii="仿宋" w:hAnsi="仿宋" w:eastAsia="仿宋"/>
                <w:b/>
                <w:sz w:val="24"/>
              </w:rPr>
            </w:pPr>
          </w:p>
          <w:p>
            <w:pPr>
              <w:spacing w:line="360" w:lineRule="auto"/>
              <w:jc w:val="left"/>
              <w:rPr>
                <w:rFonts w:ascii="仿宋" w:hAnsi="仿宋" w:eastAsia="仿宋"/>
                <w:b/>
                <w:sz w:val="24"/>
              </w:rPr>
            </w:pPr>
          </w:p>
          <w:p>
            <w:pPr>
              <w:spacing w:line="360" w:lineRule="auto"/>
              <w:jc w:val="left"/>
              <w:rPr>
                <w:rFonts w:ascii="仿宋" w:hAnsi="仿宋" w:eastAsia="仿宋"/>
                <w:b/>
                <w:sz w:val="24"/>
              </w:rPr>
            </w:pPr>
          </w:p>
          <w:p>
            <w:pPr>
              <w:spacing w:line="360" w:lineRule="auto"/>
              <w:jc w:val="center"/>
              <w:rPr>
                <w:rFonts w:ascii="仿宋" w:hAnsi="仿宋" w:eastAsia="仿宋"/>
                <w:b/>
                <w:sz w:val="24"/>
              </w:rPr>
            </w:pPr>
          </w:p>
          <w:p>
            <w:pPr>
              <w:spacing w:line="360" w:lineRule="auto"/>
              <w:jc w:val="center"/>
              <w:rPr>
                <w:rFonts w:ascii="仿宋" w:hAnsi="仿宋" w:eastAsia="仿宋"/>
                <w:b/>
                <w:sz w:val="24"/>
              </w:rPr>
            </w:pPr>
          </w:p>
          <w:p>
            <w:pPr>
              <w:spacing w:line="360" w:lineRule="auto"/>
              <w:jc w:val="left"/>
              <w:rPr>
                <w:rFonts w:ascii="仿宋" w:hAnsi="仿宋" w:eastAsia="仿宋"/>
                <w:b/>
                <w:sz w:val="24"/>
              </w:rPr>
            </w:pPr>
            <w:r>
              <w:rPr>
                <w:rFonts w:hint="eastAsia" w:ascii="仿宋" w:hAnsi="仿宋" w:eastAsia="仿宋"/>
                <w:b/>
                <w:sz w:val="24"/>
              </w:rPr>
              <w:t>附件：共X页</w:t>
            </w:r>
          </w:p>
          <w:p>
            <w:pPr>
              <w:spacing w:line="360" w:lineRule="auto"/>
              <w:jc w:val="center"/>
              <w:rPr>
                <w:rFonts w:ascii="仿宋" w:hAnsi="仿宋" w:eastAsia="仿宋"/>
                <w:b/>
                <w:sz w:val="24"/>
              </w:rPr>
            </w:pPr>
          </w:p>
          <w:p>
            <w:pPr>
              <w:spacing w:line="360" w:lineRule="auto"/>
              <w:jc w:val="center"/>
              <w:rPr>
                <w:rFonts w:ascii="仿宋" w:hAnsi="仿宋" w:eastAsia="仿宋"/>
                <w:b/>
                <w:sz w:val="24"/>
              </w:rPr>
            </w:pPr>
          </w:p>
          <w:p>
            <w:pPr>
              <w:spacing w:line="360" w:lineRule="auto"/>
              <w:jc w:val="center"/>
              <w:rPr>
                <w:rFonts w:ascii="仿宋" w:hAnsi="仿宋" w:eastAsia="仿宋"/>
                <w:b/>
                <w:sz w:val="24"/>
              </w:rPr>
            </w:pPr>
          </w:p>
          <w:p>
            <w:pPr>
              <w:spacing w:line="360" w:lineRule="auto"/>
              <w:jc w:val="center"/>
              <w:rPr>
                <w:rFonts w:ascii="仿宋" w:hAnsi="仿宋" w:eastAsia="仿宋"/>
                <w:b/>
                <w:sz w:val="24"/>
              </w:rPr>
            </w:pPr>
            <w:r>
              <w:rPr>
                <w:rFonts w:hint="eastAsia" w:ascii="仿宋" w:hAnsi="仿宋" w:eastAsia="仿宋"/>
                <w:b/>
                <w:sz w:val="24"/>
              </w:rPr>
              <w:t xml:space="preserve">           </w:t>
            </w:r>
            <w:r>
              <w:rPr>
                <w:rFonts w:hint="eastAsia" w:ascii="仿宋" w:hAnsi="仿宋" w:eastAsia="仿宋"/>
                <w:b/>
                <w:sz w:val="28"/>
                <w:szCs w:val="28"/>
              </w:rPr>
              <w:t xml:space="preserve">     XX公司</w:t>
            </w:r>
            <w:r>
              <w:rPr>
                <w:rFonts w:hint="eastAsia" w:ascii="仿宋" w:hAnsi="仿宋" w:eastAsia="仿宋"/>
                <w:b/>
                <w:sz w:val="24"/>
              </w:rPr>
              <w:t>（公章）</w:t>
            </w:r>
          </w:p>
          <w:p>
            <w:pPr>
              <w:spacing w:line="360" w:lineRule="auto"/>
              <w:jc w:val="center"/>
              <w:rPr>
                <w:rFonts w:ascii="仿宋" w:hAnsi="仿宋" w:eastAsia="仿宋"/>
                <w:b/>
                <w:sz w:val="24"/>
              </w:rPr>
            </w:pPr>
            <w:r>
              <w:rPr>
                <w:rFonts w:hint="eastAsia" w:ascii="仿宋" w:hAnsi="仿宋" w:eastAsia="仿宋"/>
                <w:b/>
                <w:sz w:val="24"/>
              </w:rPr>
              <w:t xml:space="preserve">              </w:t>
            </w:r>
          </w:p>
          <w:p>
            <w:pPr>
              <w:spacing w:line="360" w:lineRule="auto"/>
              <w:jc w:val="center"/>
              <w:rPr>
                <w:rFonts w:ascii="仿宋" w:hAnsi="仿宋" w:eastAsia="仿宋"/>
                <w:b/>
                <w:sz w:val="24"/>
              </w:rPr>
            </w:pPr>
          </w:p>
        </w:tc>
      </w:tr>
    </w:tbl>
    <w:p>
      <w:pPr>
        <w:ind w:firstLine="420" w:firstLineChars="200"/>
      </w:pPr>
      <w:r>
        <w:rPr>
          <w:rFonts w:hint="eastAsia" w:ascii="仿宋" w:hAnsi="仿宋" w:eastAsia="仿宋"/>
        </w:rPr>
        <w:t>注：</w:t>
      </w:r>
      <w:r>
        <w:rPr>
          <w:rFonts w:hint="eastAsia" w:ascii="仿宋" w:hAnsi="仿宋" w:eastAsia="仿宋"/>
          <w:szCs w:val="20"/>
        </w:rPr>
        <w:t>如有需要，变更图纸、技术文件、照片等，可作为附件。</w:t>
      </w:r>
    </w:p>
    <w:p>
      <w:pPr>
        <w:spacing w:line="276" w:lineRule="auto"/>
        <w:jc w:val="center"/>
        <w:rPr>
          <w:rFonts w:ascii="宋体" w:hAnsi="宋体"/>
        </w:rPr>
      </w:pPr>
    </w:p>
    <w:p>
      <w:pPr>
        <w:tabs>
          <w:tab w:val="left" w:pos="8222"/>
        </w:tabs>
        <w:spacing w:line="276" w:lineRule="auto"/>
        <w:ind w:right="924"/>
        <w:rPr>
          <w:rFonts w:ascii="宋体" w:hAnsi="宋体"/>
        </w:rPr>
      </w:pPr>
    </w:p>
    <w:p>
      <w:pPr>
        <w:snapToGrid w:val="0"/>
        <w:spacing w:before="312" w:beforeLines="100" w:line="360" w:lineRule="auto"/>
        <w:jc w:val="right"/>
        <w:rPr>
          <w:rFonts w:ascii="仿宋_GB2312" w:hAnsi="仿宋_GB2312" w:eastAsia="仿宋_GB2312" w:cs="仿宋_GB2312"/>
          <w:bCs/>
          <w:sz w:val="24"/>
          <w:szCs w:val="24"/>
        </w:rPr>
      </w:pPr>
      <w:r>
        <w:rPr>
          <w:rFonts w:hint="eastAsia" w:ascii="仿宋_GB2312" w:hAnsi="仿宋_GB2312" w:eastAsia="仿宋_GB2312" w:cs="仿宋_GB2312"/>
          <w:bCs/>
          <w:sz w:val="24"/>
          <w:szCs w:val="24"/>
        </w:rPr>
        <w:t xml:space="preserve">编号： </w:t>
      </w:r>
      <w:r>
        <w:rPr>
          <w:rFonts w:ascii="仿宋_GB2312" w:hAnsi="仿宋_GB2312" w:eastAsia="仿宋_GB2312" w:cs="仿宋_GB2312"/>
          <w:bCs/>
          <w:sz w:val="24"/>
          <w:szCs w:val="24"/>
        </w:rPr>
        <w:t xml:space="preserve">      </w:t>
      </w:r>
    </w:p>
    <w:p>
      <w:pPr>
        <w:snapToGrid w:val="0"/>
        <w:spacing w:line="360" w:lineRule="auto"/>
        <w:jc w:val="center"/>
        <w:rPr>
          <w:rFonts w:ascii="宋体" w:hAnsi="宋体" w:cs="宋体"/>
          <w:bCs/>
          <w:sz w:val="24"/>
          <w:szCs w:val="24"/>
        </w:rPr>
      </w:pPr>
      <w:r>
        <w:rPr>
          <w:rFonts w:hint="eastAsia" w:ascii="宋体" w:hAnsi="宋体" w:cs="宋体"/>
          <w:b/>
          <w:bCs/>
          <w:sz w:val="44"/>
          <w:szCs w:val="44"/>
        </w:rPr>
        <w:t>工作联系函</w:t>
      </w:r>
    </w:p>
    <w:p>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 </w:t>
      </w:r>
    </w:p>
    <w:p>
      <w:pPr>
        <w:pStyle w:val="20"/>
        <w:ind w:left="0" w:leftChars="0" w:firstLine="0" w:firstLineChars="0"/>
        <w:rPr>
          <w:rFonts w:ascii="宋体" w:hAnsi="宋体" w:cs="宋体"/>
          <w:sz w:val="28"/>
          <w:szCs w:val="28"/>
        </w:rPr>
      </w:pPr>
    </w:p>
    <w:p>
      <w:pPr>
        <w:pStyle w:val="20"/>
        <w:ind w:left="0" w:leftChars="0" w:firstLine="0" w:firstLineChars="0"/>
        <w:rPr>
          <w:rFonts w:ascii="宋体" w:hAnsi="宋体" w:cs="宋体"/>
          <w:sz w:val="28"/>
          <w:szCs w:val="28"/>
        </w:rPr>
      </w:pPr>
    </w:p>
    <w:p>
      <w:pPr>
        <w:pStyle w:val="20"/>
        <w:ind w:left="0" w:leftChars="0" w:firstLine="0" w:firstLineChars="0"/>
        <w:rPr>
          <w:rFonts w:ascii="宋体" w:hAnsi="宋体" w:cs="宋体"/>
          <w:sz w:val="28"/>
          <w:szCs w:val="28"/>
        </w:rPr>
      </w:pPr>
    </w:p>
    <w:p>
      <w:pPr>
        <w:pStyle w:val="20"/>
        <w:ind w:left="0" w:leftChars="0" w:firstLine="0" w:firstLineChars="0"/>
        <w:rPr>
          <w:rFonts w:ascii="宋体" w:hAnsi="宋体" w:cs="宋体"/>
          <w:sz w:val="28"/>
          <w:szCs w:val="28"/>
        </w:rPr>
      </w:pPr>
    </w:p>
    <w:p>
      <w:pPr>
        <w:pStyle w:val="20"/>
        <w:ind w:left="0" w:leftChars="0" w:firstLine="0" w:firstLineChars="0"/>
        <w:rPr>
          <w:rFonts w:ascii="宋体" w:hAnsi="宋体" w:cs="宋体"/>
          <w:sz w:val="28"/>
          <w:szCs w:val="28"/>
        </w:rPr>
      </w:pPr>
    </w:p>
    <w:p>
      <w:pPr>
        <w:pStyle w:val="20"/>
        <w:ind w:left="0" w:leftChars="0" w:firstLine="0" w:firstLineChars="0"/>
        <w:rPr>
          <w:rFonts w:ascii="宋体" w:hAnsi="宋体" w:cs="宋体"/>
          <w:sz w:val="28"/>
          <w:szCs w:val="28"/>
        </w:rPr>
      </w:pPr>
    </w:p>
    <w:p>
      <w:pPr>
        <w:pStyle w:val="20"/>
        <w:ind w:left="0" w:leftChars="0" w:firstLine="0" w:firstLineChars="0"/>
        <w:rPr>
          <w:rFonts w:ascii="宋体" w:hAnsi="宋体" w:cs="宋体"/>
          <w:sz w:val="28"/>
          <w:szCs w:val="28"/>
        </w:rPr>
      </w:pPr>
    </w:p>
    <w:p>
      <w:pPr>
        <w:pStyle w:val="20"/>
        <w:ind w:left="0" w:leftChars="0" w:firstLine="0" w:firstLineChars="0"/>
        <w:rPr>
          <w:rFonts w:ascii="宋体" w:hAnsi="宋体" w:cs="宋体"/>
          <w:sz w:val="28"/>
          <w:szCs w:val="28"/>
        </w:rPr>
      </w:pPr>
    </w:p>
    <w:p>
      <w:pPr>
        <w:pStyle w:val="20"/>
        <w:ind w:left="0" w:leftChars="0" w:firstLine="0" w:firstLineChars="0"/>
        <w:rPr>
          <w:rFonts w:ascii="宋体" w:hAnsi="宋体" w:cs="宋体"/>
          <w:sz w:val="28"/>
          <w:szCs w:val="28"/>
        </w:rPr>
      </w:pPr>
    </w:p>
    <w:p>
      <w:pPr>
        <w:pStyle w:val="20"/>
        <w:ind w:left="0" w:leftChars="0" w:firstLine="0" w:firstLineChars="0"/>
        <w:rPr>
          <w:rFonts w:ascii="宋体" w:hAnsi="宋体" w:cs="宋体"/>
          <w:sz w:val="28"/>
          <w:szCs w:val="28"/>
        </w:rPr>
      </w:pPr>
    </w:p>
    <w:p>
      <w:pPr>
        <w:pStyle w:val="20"/>
        <w:ind w:left="0" w:leftChars="0" w:firstLine="0" w:firstLineChars="0"/>
        <w:rPr>
          <w:rFonts w:ascii="宋体" w:hAnsi="宋体" w:cs="宋体"/>
          <w:sz w:val="28"/>
          <w:szCs w:val="28"/>
        </w:rPr>
      </w:pPr>
    </w:p>
    <w:p>
      <w:pPr>
        <w:pStyle w:val="20"/>
        <w:ind w:firstLine="560"/>
        <w:rPr>
          <w:rFonts w:ascii="宋体" w:hAnsi="宋体" w:cs="宋体"/>
          <w:sz w:val="28"/>
          <w:szCs w:val="28"/>
        </w:rPr>
      </w:pPr>
    </w:p>
    <w:p>
      <w:pPr>
        <w:tabs>
          <w:tab w:val="left" w:pos="7977"/>
        </w:tabs>
        <w:spacing w:line="360" w:lineRule="auto"/>
        <w:jc w:val="left"/>
        <w:rPr>
          <w:rFonts w:ascii="宋体" w:hAnsi="宋体" w:cs="宋体"/>
          <w:sz w:val="28"/>
          <w:szCs w:val="28"/>
        </w:rPr>
      </w:pPr>
    </w:p>
    <w:p>
      <w:pPr>
        <w:tabs>
          <w:tab w:val="left" w:pos="7977"/>
        </w:tabs>
        <w:spacing w:line="520" w:lineRule="exact"/>
        <w:ind w:right="560" w:firstLine="7000" w:firstLineChars="2500"/>
        <w:rPr>
          <w:rFonts w:ascii="宋体" w:hAnsi="宋体" w:cs="宋体"/>
          <w:sz w:val="28"/>
          <w:szCs w:val="28"/>
        </w:rPr>
      </w:pPr>
      <w:r>
        <w:rPr>
          <w:rFonts w:hint="eastAsia" w:ascii="宋体" w:hAnsi="宋体" w:cs="宋体"/>
          <w:sz w:val="28"/>
          <w:szCs w:val="28"/>
        </w:rPr>
        <w:t>X</w:t>
      </w:r>
      <w:r>
        <w:rPr>
          <w:rFonts w:ascii="宋体" w:hAnsi="宋体" w:cs="宋体"/>
          <w:sz w:val="28"/>
          <w:szCs w:val="28"/>
        </w:rPr>
        <w:t>X</w:t>
      </w:r>
      <w:r>
        <w:rPr>
          <w:rFonts w:hint="eastAsia" w:ascii="宋体" w:hAnsi="宋体" w:cs="宋体"/>
          <w:sz w:val="28"/>
          <w:szCs w:val="28"/>
        </w:rPr>
        <w:t>公司</w:t>
      </w:r>
    </w:p>
    <w:p>
      <w:pPr>
        <w:tabs>
          <w:tab w:val="left" w:pos="7467"/>
        </w:tabs>
        <w:spacing w:line="520" w:lineRule="exact"/>
        <w:jc w:val="center"/>
        <w:rPr>
          <w:rFonts w:ascii="宋体" w:hAnsi="宋体" w:cs="宋体"/>
          <w:sz w:val="28"/>
          <w:szCs w:val="28"/>
        </w:rPr>
      </w:pPr>
      <w:r>
        <w:rPr>
          <w:rFonts w:ascii="宋体" w:hAnsi="宋体" w:cs="宋体"/>
          <w:sz w:val="28"/>
          <w:szCs w:val="28"/>
        </w:rPr>
        <w:t xml:space="preserve">                                          </w:t>
      </w:r>
      <w:r>
        <w:rPr>
          <w:rFonts w:hint="eastAsia" w:ascii="宋体" w:hAnsi="宋体" w:cs="宋体"/>
          <w:sz w:val="28"/>
          <w:szCs w:val="28"/>
        </w:rPr>
        <w:t xml:space="preserve"> </w:t>
      </w:r>
      <w:r>
        <w:rPr>
          <w:rFonts w:ascii="宋体" w:hAnsi="宋体" w:cs="宋体"/>
          <w:sz w:val="28"/>
          <w:szCs w:val="28"/>
        </w:rPr>
        <w:t>XX</w:t>
      </w:r>
      <w:r>
        <w:rPr>
          <w:rFonts w:hint="eastAsia" w:ascii="宋体" w:hAnsi="宋体" w:cs="宋体"/>
          <w:sz w:val="28"/>
          <w:szCs w:val="28"/>
        </w:rPr>
        <w:t>年</w:t>
      </w:r>
      <w:r>
        <w:rPr>
          <w:rFonts w:ascii="宋体" w:hAnsi="宋体" w:cs="宋体"/>
          <w:sz w:val="28"/>
          <w:szCs w:val="28"/>
        </w:rPr>
        <w:t>XX</w:t>
      </w:r>
      <w:r>
        <w:rPr>
          <w:rFonts w:hint="eastAsia" w:ascii="宋体" w:hAnsi="宋体" w:cs="宋体"/>
          <w:sz w:val="28"/>
          <w:szCs w:val="28"/>
        </w:rPr>
        <w:t>月</w:t>
      </w:r>
      <w:r>
        <w:rPr>
          <w:rFonts w:ascii="宋体" w:hAnsi="宋体" w:cs="宋体"/>
          <w:sz w:val="28"/>
          <w:szCs w:val="28"/>
        </w:rPr>
        <w:t>XX</w:t>
      </w:r>
      <w:r>
        <w:rPr>
          <w:rFonts w:hint="eastAsia" w:ascii="宋体" w:hAnsi="宋体" w:cs="宋体"/>
          <w:sz w:val="28"/>
          <w:szCs w:val="28"/>
        </w:rPr>
        <w:t>日</w:t>
      </w:r>
    </w:p>
    <w:p>
      <w:pPr>
        <w:tabs>
          <w:tab w:val="left" w:pos="3389"/>
        </w:tabs>
        <w:jc w:val="left"/>
      </w:pPr>
      <w:r>
        <w:rPr>
          <w:rFonts w:hint="eastAsia" w:ascii="仿宋_GB2312" w:hAnsi="仿宋_GB2312" w:eastAsia="仿宋_GB2312" w:cs="仿宋_GB2312"/>
          <w:sz w:val="28"/>
          <w:szCs w:val="28"/>
        </w:rPr>
        <w:t>抄送：</w:t>
      </w:r>
    </w:p>
    <w:p>
      <w:pPr>
        <w:spacing w:line="276" w:lineRule="auto"/>
        <w:jc w:val="center"/>
        <w:rPr>
          <w:rFonts w:ascii="宋体" w:hAnsi="宋体"/>
          <w:b/>
        </w:rPr>
      </w:pPr>
    </w:p>
    <w:p>
      <w:pPr>
        <w:spacing w:line="276" w:lineRule="auto"/>
        <w:jc w:val="center"/>
        <w:rPr>
          <w:rFonts w:ascii="宋体" w:hAnsi="宋体"/>
          <w:b/>
        </w:rPr>
      </w:pPr>
    </w:p>
    <w:p>
      <w:pPr>
        <w:spacing w:line="276" w:lineRule="auto"/>
        <w:jc w:val="center"/>
        <w:rPr>
          <w:rFonts w:ascii="宋体" w:hAnsi="宋体"/>
          <w:b/>
        </w:rPr>
      </w:pPr>
      <w:r>
        <w:rPr>
          <w:rFonts w:hint="eastAsia" w:ascii="宋体" w:hAnsi="宋体"/>
          <w:b/>
        </w:rPr>
        <w:t>表3：现场签证单</w:t>
      </w:r>
    </w:p>
    <w:p>
      <w:pPr>
        <w:spacing w:line="276" w:lineRule="auto"/>
        <w:jc w:val="center"/>
        <w:rPr>
          <w:rFonts w:ascii="宋体" w:hAnsi="宋体"/>
          <w:b/>
        </w:rPr>
      </w:pPr>
    </w:p>
    <w:p>
      <w:pPr>
        <w:spacing w:line="276" w:lineRule="auto"/>
        <w:rPr>
          <w:rFonts w:ascii="宋体" w:hAnsi="宋体"/>
          <w:b/>
        </w:rPr>
      </w:pPr>
      <w:r>
        <w:rPr>
          <w:rFonts w:hint="eastAsia" w:ascii="宋体" w:hAnsi="宋体"/>
          <w:b/>
        </w:rPr>
        <w:t>按附件：设计变更及工程签证办理流程的要求执行。</w:t>
      </w:r>
    </w:p>
    <w:p>
      <w:pPr>
        <w:spacing w:line="276" w:lineRule="auto"/>
        <w:jc w:val="center"/>
        <w:rPr>
          <w:rFonts w:ascii="宋体" w:hAnsi="宋体"/>
          <w:b/>
        </w:rPr>
      </w:pPr>
    </w:p>
    <w:p>
      <w:pPr>
        <w:spacing w:line="276" w:lineRule="auto"/>
        <w:jc w:val="center"/>
        <w:rPr>
          <w:rFonts w:ascii="宋体" w:hAnsi="宋体"/>
          <w:b/>
        </w:rPr>
      </w:pPr>
      <w:r>
        <w:rPr>
          <w:rFonts w:hint="eastAsia" w:ascii="宋体" w:hAnsi="宋体"/>
          <w:b/>
        </w:rPr>
        <w:br w:type="page"/>
      </w:r>
      <w:r>
        <w:rPr>
          <w:rFonts w:hint="eastAsia" w:ascii="宋体" w:hAnsi="宋体"/>
          <w:b/>
        </w:rPr>
        <w:t>表4：整改通知单</w:t>
      </w:r>
    </w:p>
    <w:p>
      <w:pPr>
        <w:spacing w:line="276" w:lineRule="auto"/>
        <w:jc w:val="left"/>
        <w:rPr>
          <w:rFonts w:ascii="宋体" w:hAnsi="宋体"/>
        </w:rPr>
      </w:pPr>
      <w:r>
        <w:rPr>
          <w:rFonts w:hint="eastAsia" w:ascii="宋体" w:hAnsi="宋体"/>
        </w:rPr>
        <w:t>责任单位：                                                  通知单编号：</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694"/>
        <w:gridCol w:w="3062"/>
        <w:gridCol w:w="58"/>
        <w:gridCol w:w="1787"/>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310" w:type="dxa"/>
            <w:vAlign w:val="center"/>
          </w:tcPr>
          <w:p>
            <w:pPr>
              <w:widowControl/>
              <w:adjustRightInd w:val="0"/>
              <w:snapToGrid w:val="0"/>
              <w:spacing w:line="276" w:lineRule="auto"/>
              <w:rPr>
                <w:rFonts w:ascii="宋体" w:hAnsi="宋体"/>
                <w:spacing w:val="20"/>
              </w:rPr>
            </w:pPr>
            <w:bookmarkStart w:id="175" w:name="_Toc405302383"/>
            <w:bookmarkStart w:id="176" w:name="_Toc404565127"/>
            <w:bookmarkStart w:id="177" w:name="_Toc404603830"/>
            <w:bookmarkStart w:id="178" w:name="_Toc405765130"/>
            <w:bookmarkStart w:id="179" w:name="_Toc405195213"/>
            <w:bookmarkStart w:id="180" w:name="_Toc405535565"/>
            <w:bookmarkStart w:id="181" w:name="_Toc404779972"/>
            <w:r>
              <w:rPr>
                <w:rFonts w:hint="eastAsia" w:ascii="宋体" w:hAnsi="宋体"/>
                <w:spacing w:val="20"/>
              </w:rPr>
              <w:t>项目名称</w:t>
            </w:r>
            <w:bookmarkEnd w:id="175"/>
            <w:bookmarkEnd w:id="176"/>
            <w:bookmarkEnd w:id="177"/>
            <w:bookmarkEnd w:id="178"/>
            <w:bookmarkEnd w:id="179"/>
            <w:bookmarkEnd w:id="180"/>
            <w:bookmarkEnd w:id="181"/>
          </w:p>
        </w:tc>
        <w:tc>
          <w:tcPr>
            <w:tcW w:w="4814" w:type="dxa"/>
            <w:gridSpan w:val="3"/>
            <w:vAlign w:val="center"/>
          </w:tcPr>
          <w:p>
            <w:pPr>
              <w:widowControl/>
              <w:adjustRightInd w:val="0"/>
              <w:snapToGrid w:val="0"/>
              <w:spacing w:line="276" w:lineRule="auto"/>
              <w:rPr>
                <w:rFonts w:ascii="宋体" w:hAnsi="宋体"/>
                <w:spacing w:val="20"/>
              </w:rPr>
            </w:pPr>
          </w:p>
        </w:tc>
        <w:tc>
          <w:tcPr>
            <w:tcW w:w="1787" w:type="dxa"/>
            <w:vAlign w:val="center"/>
          </w:tcPr>
          <w:p>
            <w:pPr>
              <w:widowControl/>
              <w:adjustRightInd w:val="0"/>
              <w:snapToGrid w:val="0"/>
              <w:spacing w:line="276" w:lineRule="auto"/>
              <w:rPr>
                <w:rFonts w:ascii="宋体" w:hAnsi="宋体"/>
                <w:spacing w:val="20"/>
              </w:rPr>
            </w:pPr>
            <w:bookmarkStart w:id="182" w:name="_Toc405302384"/>
            <w:bookmarkStart w:id="183" w:name="_Toc404603831"/>
            <w:bookmarkStart w:id="184" w:name="_Toc405195214"/>
            <w:bookmarkStart w:id="185" w:name="_Toc405535566"/>
            <w:bookmarkStart w:id="186" w:name="_Toc405765131"/>
            <w:bookmarkStart w:id="187" w:name="_Toc404779973"/>
            <w:bookmarkStart w:id="188" w:name="_Toc404565128"/>
            <w:r>
              <w:rPr>
                <w:rFonts w:hint="eastAsia" w:ascii="宋体" w:hAnsi="宋体"/>
                <w:spacing w:val="20"/>
              </w:rPr>
              <w:t>发生时间</w:t>
            </w:r>
            <w:bookmarkEnd w:id="182"/>
            <w:bookmarkEnd w:id="183"/>
            <w:bookmarkEnd w:id="184"/>
            <w:bookmarkEnd w:id="185"/>
            <w:bookmarkEnd w:id="186"/>
            <w:bookmarkEnd w:id="187"/>
            <w:bookmarkEnd w:id="188"/>
          </w:p>
        </w:tc>
        <w:tc>
          <w:tcPr>
            <w:tcW w:w="1218" w:type="dxa"/>
            <w:vAlign w:val="center"/>
          </w:tcPr>
          <w:p>
            <w:pPr>
              <w:widowControl/>
              <w:adjustRightInd w:val="0"/>
              <w:snapToGrid w:val="0"/>
              <w:spacing w:line="276" w:lineRule="auto"/>
              <w:rPr>
                <w:rFonts w:ascii="宋体" w:hAnsi="宋体"/>
                <w:spacing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1310" w:type="dxa"/>
            <w:vAlign w:val="center"/>
          </w:tcPr>
          <w:p>
            <w:pPr>
              <w:widowControl/>
              <w:adjustRightInd w:val="0"/>
              <w:snapToGrid w:val="0"/>
              <w:spacing w:line="276" w:lineRule="auto"/>
              <w:rPr>
                <w:rFonts w:ascii="宋体" w:hAnsi="宋体"/>
                <w:spacing w:val="20"/>
              </w:rPr>
            </w:pPr>
            <w:bookmarkStart w:id="189" w:name="_Toc404565129"/>
            <w:bookmarkStart w:id="190" w:name="_Toc405535567"/>
            <w:bookmarkStart w:id="191" w:name="_Toc405302385"/>
            <w:bookmarkStart w:id="192" w:name="_Toc404779974"/>
            <w:bookmarkStart w:id="193" w:name="_Toc405765132"/>
            <w:bookmarkStart w:id="194" w:name="_Toc405195215"/>
            <w:bookmarkStart w:id="195" w:name="_Toc404603832"/>
            <w:r>
              <w:rPr>
                <w:rFonts w:hint="eastAsia" w:ascii="宋体" w:hAnsi="宋体"/>
                <w:spacing w:val="20"/>
              </w:rPr>
              <w:t>问题部位</w:t>
            </w:r>
            <w:bookmarkEnd w:id="189"/>
            <w:bookmarkEnd w:id="190"/>
            <w:bookmarkEnd w:id="191"/>
            <w:bookmarkEnd w:id="192"/>
            <w:bookmarkEnd w:id="193"/>
            <w:bookmarkEnd w:id="194"/>
            <w:bookmarkEnd w:id="195"/>
          </w:p>
        </w:tc>
        <w:tc>
          <w:tcPr>
            <w:tcW w:w="4814" w:type="dxa"/>
            <w:gridSpan w:val="3"/>
            <w:vAlign w:val="center"/>
          </w:tcPr>
          <w:p>
            <w:pPr>
              <w:widowControl/>
              <w:adjustRightInd w:val="0"/>
              <w:snapToGrid w:val="0"/>
              <w:spacing w:line="276" w:lineRule="auto"/>
              <w:rPr>
                <w:rFonts w:ascii="宋体" w:hAnsi="宋体"/>
                <w:spacing w:val="20"/>
              </w:rPr>
            </w:pPr>
          </w:p>
        </w:tc>
        <w:tc>
          <w:tcPr>
            <w:tcW w:w="1787" w:type="dxa"/>
            <w:vAlign w:val="center"/>
          </w:tcPr>
          <w:p>
            <w:pPr>
              <w:widowControl/>
              <w:adjustRightInd w:val="0"/>
              <w:snapToGrid w:val="0"/>
              <w:spacing w:line="276" w:lineRule="auto"/>
              <w:rPr>
                <w:rFonts w:ascii="宋体" w:hAnsi="宋体"/>
                <w:spacing w:val="20"/>
              </w:rPr>
            </w:pPr>
            <w:bookmarkStart w:id="196" w:name="_Toc405765133"/>
            <w:bookmarkStart w:id="197" w:name="_Toc405535568"/>
            <w:bookmarkStart w:id="198" w:name="_Toc405195216"/>
            <w:bookmarkStart w:id="199" w:name="_Toc404779975"/>
            <w:bookmarkStart w:id="200" w:name="_Toc404603833"/>
            <w:bookmarkStart w:id="201" w:name="_Toc404565130"/>
            <w:bookmarkStart w:id="202" w:name="_Toc405302386"/>
            <w:r>
              <w:rPr>
                <w:rFonts w:hint="eastAsia" w:ascii="宋体" w:hAnsi="宋体"/>
                <w:spacing w:val="20"/>
              </w:rPr>
              <w:t>问题严重程度</w:t>
            </w:r>
            <w:bookmarkEnd w:id="196"/>
            <w:bookmarkEnd w:id="197"/>
            <w:bookmarkEnd w:id="198"/>
            <w:bookmarkEnd w:id="199"/>
            <w:bookmarkEnd w:id="200"/>
            <w:bookmarkEnd w:id="201"/>
            <w:bookmarkEnd w:id="202"/>
          </w:p>
        </w:tc>
        <w:tc>
          <w:tcPr>
            <w:tcW w:w="1218" w:type="dxa"/>
            <w:vAlign w:val="center"/>
          </w:tcPr>
          <w:p>
            <w:pPr>
              <w:widowControl/>
              <w:adjustRightInd w:val="0"/>
              <w:snapToGrid w:val="0"/>
              <w:spacing w:line="276" w:lineRule="auto"/>
              <w:rPr>
                <w:rFonts w:ascii="宋体" w:hAnsi="宋体"/>
                <w:spacing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4" w:hRule="atLeast"/>
          <w:jc w:val="center"/>
        </w:trPr>
        <w:tc>
          <w:tcPr>
            <w:tcW w:w="9129" w:type="dxa"/>
            <w:gridSpan w:val="6"/>
          </w:tcPr>
          <w:p>
            <w:pPr>
              <w:widowControl/>
              <w:adjustRightInd w:val="0"/>
              <w:snapToGrid w:val="0"/>
              <w:spacing w:line="276" w:lineRule="auto"/>
              <w:rPr>
                <w:rFonts w:ascii="宋体" w:hAnsi="宋体"/>
                <w:spacing w:val="20"/>
              </w:rPr>
            </w:pPr>
            <w:bookmarkStart w:id="203" w:name="_Toc405195217"/>
            <w:bookmarkStart w:id="204" w:name="_Toc404603834"/>
            <w:bookmarkStart w:id="205" w:name="_Toc405535569"/>
            <w:bookmarkStart w:id="206" w:name="_Toc404779976"/>
            <w:bookmarkStart w:id="207" w:name="_Toc405302387"/>
            <w:bookmarkStart w:id="208" w:name="_Toc404565131"/>
            <w:bookmarkStart w:id="209" w:name="_Toc405765134"/>
            <w:r>
              <w:rPr>
                <w:rFonts w:hint="eastAsia" w:ascii="宋体" w:hAnsi="宋体"/>
                <w:spacing w:val="20"/>
              </w:rPr>
              <w:t>问题描述：</w:t>
            </w:r>
            <w:bookmarkEnd w:id="203"/>
            <w:bookmarkEnd w:id="204"/>
            <w:bookmarkEnd w:id="205"/>
            <w:bookmarkEnd w:id="206"/>
            <w:bookmarkEnd w:id="207"/>
            <w:bookmarkEnd w:id="208"/>
            <w:bookmarkEnd w:id="209"/>
          </w:p>
          <w:p>
            <w:pPr>
              <w:widowControl/>
              <w:adjustRightInd w:val="0"/>
              <w:snapToGrid w:val="0"/>
              <w:spacing w:line="276" w:lineRule="auto"/>
              <w:rPr>
                <w:rFonts w:ascii="宋体" w:hAnsi="宋体"/>
                <w:spacing w:val="20"/>
              </w:rPr>
            </w:pPr>
          </w:p>
          <w:p>
            <w:pPr>
              <w:widowControl/>
              <w:adjustRightInd w:val="0"/>
              <w:snapToGrid w:val="0"/>
              <w:spacing w:line="276" w:lineRule="auto"/>
              <w:rPr>
                <w:rFonts w:ascii="宋体" w:hAnsi="宋体"/>
                <w:spacing w:val="20"/>
              </w:rPr>
            </w:pPr>
          </w:p>
          <w:p>
            <w:pPr>
              <w:widowControl/>
              <w:adjustRightInd w:val="0"/>
              <w:snapToGrid w:val="0"/>
              <w:spacing w:line="276" w:lineRule="auto"/>
              <w:rPr>
                <w:rFonts w:ascii="宋体" w:hAnsi="宋体"/>
                <w:spacing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6" w:hRule="atLeast"/>
          <w:jc w:val="center"/>
        </w:trPr>
        <w:tc>
          <w:tcPr>
            <w:tcW w:w="9129" w:type="dxa"/>
            <w:gridSpan w:val="6"/>
          </w:tcPr>
          <w:p>
            <w:pPr>
              <w:widowControl/>
              <w:adjustRightInd w:val="0"/>
              <w:snapToGrid w:val="0"/>
              <w:spacing w:line="276" w:lineRule="auto"/>
              <w:rPr>
                <w:rFonts w:ascii="宋体" w:hAnsi="宋体"/>
                <w:spacing w:val="20"/>
              </w:rPr>
            </w:pPr>
            <w:bookmarkStart w:id="210" w:name="_Toc404779977"/>
            <w:bookmarkStart w:id="211" w:name="_Toc404565132"/>
            <w:bookmarkStart w:id="212" w:name="_Toc405535570"/>
            <w:bookmarkStart w:id="213" w:name="_Toc405302388"/>
            <w:bookmarkStart w:id="214" w:name="_Toc405765135"/>
            <w:bookmarkStart w:id="215" w:name="_Toc405195218"/>
            <w:bookmarkStart w:id="216" w:name="_Toc404603835"/>
            <w:r>
              <w:rPr>
                <w:rFonts w:hint="eastAsia" w:ascii="宋体" w:hAnsi="宋体"/>
                <w:spacing w:val="20"/>
              </w:rPr>
              <w:t>问题整改要求：（整改措施、效果及期限要求等）</w:t>
            </w:r>
            <w:bookmarkEnd w:id="210"/>
            <w:bookmarkEnd w:id="211"/>
            <w:bookmarkEnd w:id="212"/>
            <w:bookmarkEnd w:id="213"/>
            <w:bookmarkEnd w:id="214"/>
            <w:bookmarkEnd w:id="215"/>
            <w:bookmarkEnd w:id="2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3004" w:type="dxa"/>
            <w:gridSpan w:val="2"/>
            <w:vAlign w:val="center"/>
          </w:tcPr>
          <w:p>
            <w:pPr>
              <w:widowControl/>
              <w:adjustRightInd w:val="0"/>
              <w:snapToGrid w:val="0"/>
              <w:spacing w:line="276" w:lineRule="auto"/>
              <w:rPr>
                <w:rFonts w:ascii="宋体" w:hAnsi="宋体"/>
                <w:spacing w:val="20"/>
              </w:rPr>
            </w:pPr>
            <w:bookmarkStart w:id="217" w:name="_Toc404779978"/>
            <w:bookmarkStart w:id="218" w:name="_Toc405302389"/>
            <w:bookmarkStart w:id="219" w:name="_Toc405535571"/>
            <w:bookmarkStart w:id="220" w:name="_Toc404603836"/>
            <w:bookmarkStart w:id="221" w:name="_Toc404565133"/>
            <w:bookmarkStart w:id="222" w:name="_Toc405195219"/>
            <w:bookmarkStart w:id="223" w:name="_Toc405765136"/>
            <w:r>
              <w:rPr>
                <w:rFonts w:hint="eastAsia" w:ascii="宋体" w:hAnsi="宋体"/>
                <w:spacing w:val="20"/>
              </w:rPr>
              <w:t>编制        日期：</w:t>
            </w:r>
            <w:bookmarkEnd w:id="217"/>
            <w:bookmarkEnd w:id="218"/>
            <w:bookmarkEnd w:id="219"/>
            <w:bookmarkEnd w:id="220"/>
            <w:bookmarkEnd w:id="221"/>
            <w:bookmarkEnd w:id="222"/>
            <w:bookmarkEnd w:id="223"/>
          </w:p>
        </w:tc>
        <w:tc>
          <w:tcPr>
            <w:tcW w:w="3062" w:type="dxa"/>
            <w:vAlign w:val="center"/>
          </w:tcPr>
          <w:p>
            <w:pPr>
              <w:widowControl/>
              <w:adjustRightInd w:val="0"/>
              <w:snapToGrid w:val="0"/>
              <w:spacing w:line="276" w:lineRule="auto"/>
              <w:rPr>
                <w:rFonts w:ascii="宋体" w:hAnsi="宋体"/>
                <w:spacing w:val="20"/>
              </w:rPr>
            </w:pPr>
            <w:bookmarkStart w:id="224" w:name="_Toc405195220"/>
            <w:bookmarkStart w:id="225" w:name="_Toc404565134"/>
            <w:bookmarkStart w:id="226" w:name="_Toc404603837"/>
            <w:bookmarkStart w:id="227" w:name="_Toc405535572"/>
            <w:bookmarkStart w:id="228" w:name="_Toc405765137"/>
            <w:bookmarkStart w:id="229" w:name="_Toc405302390"/>
            <w:bookmarkStart w:id="230" w:name="_Toc404779979"/>
            <w:r>
              <w:rPr>
                <w:rFonts w:hint="eastAsia" w:ascii="宋体" w:hAnsi="宋体"/>
                <w:spacing w:val="20"/>
              </w:rPr>
              <w:t>审核：    日期：</w:t>
            </w:r>
            <w:bookmarkEnd w:id="224"/>
            <w:bookmarkEnd w:id="225"/>
            <w:bookmarkEnd w:id="226"/>
            <w:bookmarkEnd w:id="227"/>
            <w:bookmarkEnd w:id="228"/>
            <w:bookmarkEnd w:id="229"/>
            <w:bookmarkEnd w:id="230"/>
          </w:p>
        </w:tc>
        <w:tc>
          <w:tcPr>
            <w:tcW w:w="3063" w:type="dxa"/>
            <w:gridSpan w:val="3"/>
            <w:vAlign w:val="center"/>
          </w:tcPr>
          <w:p>
            <w:pPr>
              <w:widowControl/>
              <w:adjustRightInd w:val="0"/>
              <w:snapToGrid w:val="0"/>
              <w:spacing w:line="276" w:lineRule="auto"/>
              <w:rPr>
                <w:rFonts w:ascii="宋体" w:hAnsi="宋体"/>
                <w:spacing w:val="20"/>
              </w:rPr>
            </w:pPr>
            <w:bookmarkStart w:id="231" w:name="_Toc404565135"/>
            <w:bookmarkStart w:id="232" w:name="_Toc404603838"/>
            <w:bookmarkStart w:id="233" w:name="_Toc405195221"/>
            <w:bookmarkStart w:id="234" w:name="_Toc405302391"/>
            <w:bookmarkStart w:id="235" w:name="_Toc404779980"/>
            <w:bookmarkStart w:id="236" w:name="_Toc405535573"/>
            <w:bookmarkStart w:id="237" w:name="_Toc405765138"/>
            <w:r>
              <w:rPr>
                <w:rFonts w:hint="eastAsia" w:ascii="宋体" w:hAnsi="宋体"/>
                <w:spacing w:val="20"/>
              </w:rPr>
              <w:t>批准：     日期：</w:t>
            </w:r>
            <w:bookmarkEnd w:id="231"/>
            <w:bookmarkEnd w:id="232"/>
            <w:bookmarkEnd w:id="233"/>
            <w:bookmarkEnd w:id="234"/>
            <w:bookmarkEnd w:id="235"/>
            <w:bookmarkEnd w:id="236"/>
            <w:bookmarkEnd w:id="2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9129" w:type="dxa"/>
            <w:gridSpan w:val="6"/>
            <w:vAlign w:val="center"/>
          </w:tcPr>
          <w:p>
            <w:pPr>
              <w:widowControl/>
              <w:adjustRightInd w:val="0"/>
              <w:snapToGrid w:val="0"/>
              <w:spacing w:line="276" w:lineRule="auto"/>
              <w:rPr>
                <w:rFonts w:ascii="宋体" w:hAnsi="宋体"/>
                <w:spacing w:val="20"/>
              </w:rPr>
            </w:pPr>
            <w:bookmarkStart w:id="238" w:name="_Toc404565136"/>
            <w:bookmarkStart w:id="239" w:name="_Toc404603839"/>
            <w:bookmarkStart w:id="240" w:name="_Toc405765139"/>
            <w:bookmarkStart w:id="241" w:name="_Toc404779981"/>
            <w:bookmarkStart w:id="242" w:name="_Toc405195222"/>
            <w:bookmarkStart w:id="243" w:name="_Toc405535574"/>
            <w:bookmarkStart w:id="244" w:name="_Toc405302392"/>
            <w:r>
              <w:rPr>
                <w:rFonts w:hint="eastAsia" w:ascii="宋体" w:hAnsi="宋体"/>
                <w:spacing w:val="20"/>
              </w:rPr>
              <w:t>责任单位签收：</w:t>
            </w:r>
            <w:bookmarkEnd w:id="238"/>
            <w:bookmarkEnd w:id="239"/>
            <w:bookmarkEnd w:id="240"/>
            <w:bookmarkEnd w:id="241"/>
            <w:bookmarkEnd w:id="242"/>
            <w:bookmarkEnd w:id="243"/>
            <w:bookmarkEnd w:id="2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9129" w:type="dxa"/>
            <w:gridSpan w:val="6"/>
            <w:vAlign w:val="center"/>
          </w:tcPr>
          <w:p>
            <w:pPr>
              <w:widowControl/>
              <w:adjustRightInd w:val="0"/>
              <w:snapToGrid w:val="0"/>
              <w:spacing w:line="276" w:lineRule="auto"/>
              <w:rPr>
                <w:rFonts w:ascii="宋体" w:hAnsi="宋体"/>
                <w:spacing w:val="20"/>
              </w:rPr>
            </w:pPr>
            <w:bookmarkStart w:id="245" w:name="_Toc405302393"/>
            <w:bookmarkStart w:id="246" w:name="_Toc405195223"/>
            <w:bookmarkStart w:id="247" w:name="_Toc404779982"/>
            <w:bookmarkStart w:id="248" w:name="_Toc404603840"/>
            <w:bookmarkStart w:id="249" w:name="_Toc405535575"/>
            <w:bookmarkStart w:id="250" w:name="_Toc404565137"/>
            <w:bookmarkStart w:id="251" w:name="_Toc405765140"/>
            <w:r>
              <w:rPr>
                <w:rFonts w:hint="eastAsia" w:ascii="宋体" w:hAnsi="宋体"/>
                <w:spacing w:val="20"/>
              </w:rPr>
              <w:t>抄送监理签收：</w:t>
            </w:r>
            <w:bookmarkEnd w:id="245"/>
            <w:bookmarkEnd w:id="246"/>
            <w:bookmarkEnd w:id="247"/>
            <w:bookmarkEnd w:id="248"/>
            <w:bookmarkEnd w:id="249"/>
            <w:bookmarkEnd w:id="250"/>
            <w:bookmarkEnd w:id="251"/>
          </w:p>
        </w:tc>
      </w:tr>
    </w:tbl>
    <w:p>
      <w:pPr>
        <w:spacing w:line="276" w:lineRule="auto"/>
        <w:jc w:val="left"/>
        <w:rPr>
          <w:rFonts w:ascii="宋体" w:hAnsi="宋体"/>
          <w:spacing w:val="20"/>
        </w:rPr>
      </w:pPr>
      <w:r>
        <w:rPr>
          <w:rFonts w:hint="eastAsia" w:ascii="宋体" w:hAnsi="宋体"/>
          <w:spacing w:val="20"/>
        </w:rPr>
        <w:t>注：本表一式三份，责任单位、监理、发包人各一份。</w:t>
      </w:r>
    </w:p>
    <w:p>
      <w:pPr>
        <w:spacing w:line="276" w:lineRule="auto"/>
        <w:jc w:val="left"/>
        <w:rPr>
          <w:rFonts w:ascii="宋体" w:hAnsi="宋体"/>
          <w:spacing w:val="20"/>
        </w:rPr>
      </w:pPr>
    </w:p>
    <w:p>
      <w:pPr>
        <w:spacing w:line="276" w:lineRule="auto"/>
        <w:jc w:val="left"/>
        <w:rPr>
          <w:rFonts w:ascii="宋体" w:hAnsi="宋体"/>
          <w:spacing w:val="20"/>
        </w:rPr>
      </w:pPr>
    </w:p>
    <w:p>
      <w:pPr>
        <w:spacing w:line="276" w:lineRule="auto"/>
        <w:jc w:val="left"/>
        <w:rPr>
          <w:rFonts w:ascii="宋体" w:hAnsi="宋体"/>
          <w:spacing w:val="20"/>
        </w:rPr>
      </w:pPr>
    </w:p>
    <w:p>
      <w:pPr>
        <w:pStyle w:val="43"/>
        <w:tabs>
          <w:tab w:val="left" w:pos="420"/>
        </w:tabs>
        <w:adjustRightInd w:val="0"/>
        <w:spacing w:after="0" w:line="276" w:lineRule="auto"/>
        <w:jc w:val="center"/>
        <w:rPr>
          <w:rFonts w:ascii="宋体" w:hAnsi="宋体"/>
          <w:sz w:val="21"/>
          <w:szCs w:val="21"/>
        </w:rPr>
      </w:pPr>
    </w:p>
    <w:p>
      <w:pPr>
        <w:pStyle w:val="43"/>
        <w:tabs>
          <w:tab w:val="left" w:pos="420"/>
        </w:tabs>
        <w:adjustRightInd w:val="0"/>
        <w:spacing w:after="0" w:line="276" w:lineRule="auto"/>
        <w:jc w:val="center"/>
        <w:rPr>
          <w:rFonts w:ascii="宋体" w:hAnsi="宋体"/>
          <w:sz w:val="21"/>
          <w:szCs w:val="21"/>
        </w:rPr>
      </w:pPr>
    </w:p>
    <w:p>
      <w:pPr>
        <w:spacing w:line="276" w:lineRule="auto"/>
        <w:jc w:val="center"/>
        <w:rPr>
          <w:rFonts w:ascii="宋体" w:hAnsi="宋体"/>
          <w:b/>
        </w:rPr>
      </w:pPr>
      <w:r>
        <w:rPr>
          <w:rFonts w:hint="eastAsia" w:ascii="宋体" w:hAnsi="宋体"/>
          <w:b/>
        </w:rPr>
        <w:t>表5:整改回复单</w:t>
      </w:r>
    </w:p>
    <w:p>
      <w:pPr>
        <w:spacing w:line="276" w:lineRule="auto"/>
        <w:jc w:val="left"/>
        <w:rPr>
          <w:rFonts w:ascii="宋体" w:hAnsi="宋体"/>
          <w:sz w:val="18"/>
          <w:szCs w:val="18"/>
        </w:rPr>
      </w:pPr>
      <w:r>
        <w:rPr>
          <w:rFonts w:hint="eastAsia" w:ascii="宋体" w:hAnsi="宋体"/>
          <w:sz w:val="18"/>
          <w:szCs w:val="18"/>
        </w:rPr>
        <w:t xml:space="preserve">责任单位：                                                  </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3"/>
        <w:gridCol w:w="4613"/>
        <w:gridCol w:w="1987"/>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223" w:type="dxa"/>
            <w:vAlign w:val="center"/>
          </w:tcPr>
          <w:p>
            <w:pPr>
              <w:widowControl/>
              <w:adjustRightInd w:val="0"/>
              <w:snapToGrid w:val="0"/>
              <w:spacing w:line="276" w:lineRule="auto"/>
              <w:rPr>
                <w:rFonts w:ascii="宋体" w:hAnsi="宋体"/>
                <w:spacing w:val="20"/>
                <w:sz w:val="18"/>
                <w:szCs w:val="18"/>
              </w:rPr>
            </w:pPr>
            <w:bookmarkStart w:id="252" w:name="_Toc404779983"/>
            <w:bookmarkStart w:id="253" w:name="_Toc404565138"/>
            <w:bookmarkStart w:id="254" w:name="_Toc405535576"/>
            <w:bookmarkStart w:id="255" w:name="_Toc405765141"/>
            <w:bookmarkStart w:id="256" w:name="_Toc404603841"/>
            <w:bookmarkStart w:id="257" w:name="_Toc405195224"/>
            <w:bookmarkStart w:id="258" w:name="_Toc405302394"/>
            <w:r>
              <w:rPr>
                <w:rFonts w:hint="eastAsia" w:ascii="宋体" w:hAnsi="宋体"/>
                <w:spacing w:val="20"/>
                <w:sz w:val="18"/>
                <w:szCs w:val="18"/>
              </w:rPr>
              <w:t>项目名称</w:t>
            </w:r>
            <w:bookmarkEnd w:id="252"/>
            <w:bookmarkEnd w:id="253"/>
            <w:bookmarkEnd w:id="254"/>
            <w:bookmarkEnd w:id="255"/>
            <w:bookmarkEnd w:id="256"/>
            <w:bookmarkEnd w:id="257"/>
            <w:bookmarkEnd w:id="258"/>
          </w:p>
        </w:tc>
        <w:tc>
          <w:tcPr>
            <w:tcW w:w="4613" w:type="dxa"/>
            <w:vAlign w:val="center"/>
          </w:tcPr>
          <w:p>
            <w:pPr>
              <w:widowControl/>
              <w:adjustRightInd w:val="0"/>
              <w:snapToGrid w:val="0"/>
              <w:spacing w:line="276" w:lineRule="auto"/>
              <w:rPr>
                <w:rFonts w:ascii="宋体" w:hAnsi="宋体"/>
                <w:spacing w:val="20"/>
                <w:sz w:val="18"/>
                <w:szCs w:val="18"/>
              </w:rPr>
            </w:pPr>
          </w:p>
        </w:tc>
        <w:tc>
          <w:tcPr>
            <w:tcW w:w="1987" w:type="dxa"/>
            <w:vAlign w:val="center"/>
          </w:tcPr>
          <w:p>
            <w:pPr>
              <w:widowControl/>
              <w:adjustRightInd w:val="0"/>
              <w:snapToGrid w:val="0"/>
              <w:spacing w:line="276" w:lineRule="auto"/>
              <w:rPr>
                <w:rFonts w:ascii="宋体" w:hAnsi="宋体"/>
                <w:spacing w:val="20"/>
                <w:sz w:val="18"/>
                <w:szCs w:val="18"/>
              </w:rPr>
            </w:pPr>
            <w:bookmarkStart w:id="259" w:name="_Toc405302395"/>
            <w:bookmarkStart w:id="260" w:name="_Toc405535577"/>
            <w:bookmarkStart w:id="261" w:name="_Toc405195225"/>
            <w:bookmarkStart w:id="262" w:name="_Toc404603842"/>
            <w:bookmarkStart w:id="263" w:name="_Toc405765142"/>
            <w:bookmarkStart w:id="264" w:name="_Toc404565139"/>
            <w:bookmarkStart w:id="265" w:name="_Toc404779984"/>
            <w:r>
              <w:rPr>
                <w:rFonts w:hint="eastAsia" w:ascii="宋体" w:hAnsi="宋体"/>
                <w:spacing w:val="20"/>
                <w:sz w:val="18"/>
                <w:szCs w:val="18"/>
              </w:rPr>
              <w:t>整改通知单编号</w:t>
            </w:r>
            <w:bookmarkEnd w:id="259"/>
            <w:bookmarkEnd w:id="260"/>
            <w:bookmarkEnd w:id="261"/>
            <w:bookmarkEnd w:id="262"/>
            <w:bookmarkEnd w:id="263"/>
            <w:bookmarkEnd w:id="264"/>
            <w:bookmarkEnd w:id="265"/>
          </w:p>
        </w:tc>
        <w:tc>
          <w:tcPr>
            <w:tcW w:w="1219" w:type="dxa"/>
            <w:vAlign w:val="center"/>
          </w:tcPr>
          <w:p>
            <w:pPr>
              <w:widowControl/>
              <w:adjustRightInd w:val="0"/>
              <w:snapToGrid w:val="0"/>
              <w:spacing w:line="276" w:lineRule="auto"/>
              <w:rPr>
                <w:rFonts w:ascii="宋体" w:hAnsi="宋体"/>
                <w:spacing w:val="2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223" w:type="dxa"/>
            <w:vAlign w:val="center"/>
          </w:tcPr>
          <w:p>
            <w:pPr>
              <w:widowControl/>
              <w:adjustRightInd w:val="0"/>
              <w:snapToGrid w:val="0"/>
              <w:spacing w:line="276" w:lineRule="auto"/>
              <w:rPr>
                <w:rFonts w:ascii="宋体" w:hAnsi="宋体"/>
                <w:spacing w:val="20"/>
                <w:sz w:val="18"/>
                <w:szCs w:val="18"/>
              </w:rPr>
            </w:pPr>
            <w:bookmarkStart w:id="266" w:name="_Toc405195226"/>
            <w:bookmarkStart w:id="267" w:name="_Toc404565140"/>
            <w:bookmarkStart w:id="268" w:name="_Toc405765143"/>
            <w:bookmarkStart w:id="269" w:name="_Toc405535578"/>
            <w:bookmarkStart w:id="270" w:name="_Toc404779985"/>
            <w:bookmarkStart w:id="271" w:name="_Toc404603843"/>
            <w:bookmarkStart w:id="272" w:name="_Toc405302396"/>
            <w:r>
              <w:rPr>
                <w:rFonts w:hint="eastAsia" w:ascii="宋体" w:hAnsi="宋体"/>
                <w:spacing w:val="20"/>
                <w:sz w:val="18"/>
                <w:szCs w:val="18"/>
              </w:rPr>
              <w:t>问题部位</w:t>
            </w:r>
            <w:bookmarkEnd w:id="266"/>
            <w:bookmarkEnd w:id="267"/>
            <w:bookmarkEnd w:id="268"/>
            <w:bookmarkEnd w:id="269"/>
            <w:bookmarkEnd w:id="270"/>
            <w:bookmarkEnd w:id="271"/>
            <w:bookmarkEnd w:id="272"/>
          </w:p>
        </w:tc>
        <w:tc>
          <w:tcPr>
            <w:tcW w:w="4613" w:type="dxa"/>
            <w:vAlign w:val="center"/>
          </w:tcPr>
          <w:p>
            <w:pPr>
              <w:widowControl/>
              <w:adjustRightInd w:val="0"/>
              <w:snapToGrid w:val="0"/>
              <w:spacing w:line="276" w:lineRule="auto"/>
              <w:rPr>
                <w:rFonts w:ascii="宋体" w:hAnsi="宋体"/>
                <w:spacing w:val="20"/>
                <w:sz w:val="18"/>
                <w:szCs w:val="18"/>
              </w:rPr>
            </w:pPr>
          </w:p>
        </w:tc>
        <w:tc>
          <w:tcPr>
            <w:tcW w:w="1987" w:type="dxa"/>
            <w:vAlign w:val="center"/>
          </w:tcPr>
          <w:p>
            <w:pPr>
              <w:widowControl/>
              <w:adjustRightInd w:val="0"/>
              <w:snapToGrid w:val="0"/>
              <w:spacing w:line="276" w:lineRule="auto"/>
              <w:rPr>
                <w:rFonts w:ascii="宋体" w:hAnsi="宋体"/>
                <w:spacing w:val="20"/>
                <w:sz w:val="18"/>
                <w:szCs w:val="18"/>
              </w:rPr>
            </w:pPr>
            <w:bookmarkStart w:id="273" w:name="_Toc405535579"/>
            <w:bookmarkStart w:id="274" w:name="_Toc405302397"/>
            <w:bookmarkStart w:id="275" w:name="_Toc405195227"/>
            <w:bookmarkStart w:id="276" w:name="_Toc405765144"/>
            <w:bookmarkStart w:id="277" w:name="_Toc404603844"/>
            <w:bookmarkStart w:id="278" w:name="_Toc404779986"/>
            <w:bookmarkStart w:id="279" w:name="_Toc404565141"/>
            <w:r>
              <w:rPr>
                <w:rFonts w:hint="eastAsia" w:ascii="宋体" w:hAnsi="宋体"/>
                <w:spacing w:val="20"/>
                <w:sz w:val="18"/>
                <w:szCs w:val="18"/>
              </w:rPr>
              <w:t>发生时间</w:t>
            </w:r>
            <w:bookmarkEnd w:id="273"/>
            <w:bookmarkEnd w:id="274"/>
            <w:bookmarkEnd w:id="275"/>
            <w:bookmarkEnd w:id="276"/>
            <w:bookmarkEnd w:id="277"/>
            <w:bookmarkEnd w:id="278"/>
            <w:bookmarkEnd w:id="279"/>
          </w:p>
        </w:tc>
        <w:tc>
          <w:tcPr>
            <w:tcW w:w="1219" w:type="dxa"/>
            <w:vAlign w:val="center"/>
          </w:tcPr>
          <w:p>
            <w:pPr>
              <w:widowControl/>
              <w:adjustRightInd w:val="0"/>
              <w:snapToGrid w:val="0"/>
              <w:spacing w:line="276" w:lineRule="auto"/>
              <w:rPr>
                <w:rFonts w:ascii="宋体" w:hAnsi="宋体"/>
                <w:spacing w:val="2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jc w:val="center"/>
        </w:trPr>
        <w:tc>
          <w:tcPr>
            <w:tcW w:w="9042" w:type="dxa"/>
            <w:gridSpan w:val="4"/>
          </w:tcPr>
          <w:p>
            <w:pPr>
              <w:widowControl/>
              <w:adjustRightInd w:val="0"/>
              <w:snapToGrid w:val="0"/>
              <w:spacing w:line="276" w:lineRule="auto"/>
              <w:rPr>
                <w:rFonts w:ascii="宋体" w:hAnsi="宋体"/>
                <w:spacing w:val="20"/>
                <w:sz w:val="18"/>
                <w:szCs w:val="18"/>
              </w:rPr>
            </w:pPr>
            <w:bookmarkStart w:id="280" w:name="_Toc404779987"/>
            <w:bookmarkStart w:id="281" w:name="_Toc405195228"/>
            <w:bookmarkStart w:id="282" w:name="_Toc405302398"/>
            <w:bookmarkStart w:id="283" w:name="_Toc404565142"/>
            <w:bookmarkStart w:id="284" w:name="_Toc404603845"/>
            <w:bookmarkStart w:id="285" w:name="_Toc405535580"/>
            <w:bookmarkStart w:id="286" w:name="_Toc405765145"/>
            <w:r>
              <w:rPr>
                <w:rFonts w:hint="eastAsia" w:ascii="宋体" w:hAnsi="宋体"/>
                <w:spacing w:val="20"/>
                <w:sz w:val="18"/>
                <w:szCs w:val="18"/>
              </w:rPr>
              <w:t>问题原因分析：</w:t>
            </w:r>
            <w:bookmarkEnd w:id="280"/>
            <w:bookmarkEnd w:id="281"/>
            <w:bookmarkEnd w:id="282"/>
            <w:bookmarkEnd w:id="283"/>
            <w:bookmarkEnd w:id="284"/>
            <w:bookmarkEnd w:id="285"/>
            <w:bookmarkEnd w:id="286"/>
          </w:p>
          <w:p>
            <w:pPr>
              <w:widowControl/>
              <w:adjustRightInd w:val="0"/>
              <w:snapToGrid w:val="0"/>
              <w:spacing w:line="276" w:lineRule="auto"/>
              <w:rPr>
                <w:rFonts w:ascii="宋体" w:hAnsi="宋体"/>
                <w:spacing w:val="20"/>
                <w:sz w:val="18"/>
                <w:szCs w:val="18"/>
              </w:rPr>
            </w:pPr>
          </w:p>
          <w:p>
            <w:pPr>
              <w:widowControl/>
              <w:adjustRightInd w:val="0"/>
              <w:snapToGrid w:val="0"/>
              <w:spacing w:line="276" w:lineRule="auto"/>
              <w:rPr>
                <w:rFonts w:ascii="宋体" w:hAnsi="宋体"/>
                <w:spacing w:val="20"/>
                <w:sz w:val="18"/>
                <w:szCs w:val="18"/>
              </w:rPr>
            </w:pPr>
          </w:p>
          <w:p>
            <w:pPr>
              <w:widowControl/>
              <w:adjustRightInd w:val="0"/>
              <w:snapToGrid w:val="0"/>
              <w:spacing w:line="276" w:lineRule="auto"/>
              <w:rPr>
                <w:rFonts w:ascii="宋体" w:hAnsi="宋体"/>
                <w:spacing w:val="2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8" w:hRule="atLeast"/>
          <w:jc w:val="center"/>
        </w:trPr>
        <w:tc>
          <w:tcPr>
            <w:tcW w:w="9042" w:type="dxa"/>
            <w:gridSpan w:val="4"/>
          </w:tcPr>
          <w:p>
            <w:pPr>
              <w:widowControl/>
              <w:adjustRightInd w:val="0"/>
              <w:snapToGrid w:val="0"/>
              <w:spacing w:line="276" w:lineRule="auto"/>
              <w:rPr>
                <w:rFonts w:ascii="宋体" w:hAnsi="宋体"/>
                <w:spacing w:val="20"/>
                <w:sz w:val="18"/>
                <w:szCs w:val="18"/>
              </w:rPr>
            </w:pPr>
            <w:bookmarkStart w:id="287" w:name="_Toc404565143"/>
            <w:bookmarkStart w:id="288" w:name="_Toc404779988"/>
            <w:bookmarkStart w:id="289" w:name="_Toc405535581"/>
            <w:bookmarkStart w:id="290" w:name="_Toc404603846"/>
            <w:bookmarkStart w:id="291" w:name="_Toc405195229"/>
            <w:bookmarkStart w:id="292" w:name="_Toc405765146"/>
            <w:bookmarkStart w:id="293" w:name="_Toc405302399"/>
            <w:r>
              <w:rPr>
                <w:rFonts w:hint="eastAsia" w:ascii="宋体" w:hAnsi="宋体"/>
                <w:spacing w:val="20"/>
                <w:sz w:val="18"/>
                <w:szCs w:val="18"/>
              </w:rPr>
              <w:t>问题整改措施及完成情况：</w:t>
            </w:r>
            <w:bookmarkEnd w:id="287"/>
            <w:bookmarkEnd w:id="288"/>
            <w:bookmarkEnd w:id="289"/>
            <w:bookmarkEnd w:id="290"/>
            <w:bookmarkEnd w:id="291"/>
            <w:bookmarkEnd w:id="292"/>
            <w:bookmarkEnd w:id="29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042" w:type="dxa"/>
            <w:gridSpan w:val="4"/>
            <w:vAlign w:val="center"/>
          </w:tcPr>
          <w:p>
            <w:pPr>
              <w:widowControl/>
              <w:adjustRightInd w:val="0"/>
              <w:snapToGrid w:val="0"/>
              <w:spacing w:line="276" w:lineRule="auto"/>
              <w:rPr>
                <w:rFonts w:ascii="宋体" w:hAnsi="宋体"/>
                <w:spacing w:val="20"/>
                <w:sz w:val="18"/>
                <w:szCs w:val="18"/>
              </w:rPr>
            </w:pPr>
            <w:bookmarkStart w:id="294" w:name="_Toc405765147"/>
            <w:bookmarkStart w:id="295" w:name="_Toc404565144"/>
            <w:bookmarkStart w:id="296" w:name="_Toc404603847"/>
            <w:bookmarkStart w:id="297" w:name="_Toc405195230"/>
            <w:bookmarkStart w:id="298" w:name="_Toc404779989"/>
            <w:bookmarkStart w:id="299" w:name="_Toc405535582"/>
            <w:bookmarkStart w:id="300" w:name="_Toc405302400"/>
            <w:r>
              <w:rPr>
                <w:rFonts w:hint="eastAsia" w:ascii="宋体" w:hAnsi="宋体"/>
                <w:spacing w:val="20"/>
                <w:sz w:val="18"/>
                <w:szCs w:val="18"/>
              </w:rPr>
              <w:t>责任单位经办人：      日期：       责任单位现场负责人：     日期：</w:t>
            </w:r>
            <w:bookmarkEnd w:id="294"/>
            <w:bookmarkEnd w:id="295"/>
            <w:bookmarkEnd w:id="296"/>
            <w:bookmarkEnd w:id="297"/>
            <w:bookmarkEnd w:id="298"/>
            <w:bookmarkEnd w:id="299"/>
            <w:bookmarkEnd w:id="30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jc w:val="center"/>
        </w:trPr>
        <w:tc>
          <w:tcPr>
            <w:tcW w:w="9042" w:type="dxa"/>
            <w:gridSpan w:val="4"/>
          </w:tcPr>
          <w:p>
            <w:pPr>
              <w:widowControl/>
              <w:adjustRightInd w:val="0"/>
              <w:snapToGrid w:val="0"/>
              <w:spacing w:line="276" w:lineRule="auto"/>
              <w:rPr>
                <w:rFonts w:ascii="宋体" w:hAnsi="宋体"/>
                <w:spacing w:val="20"/>
                <w:sz w:val="18"/>
                <w:szCs w:val="18"/>
              </w:rPr>
            </w:pPr>
            <w:bookmarkStart w:id="301" w:name="_Toc405765148"/>
            <w:bookmarkStart w:id="302" w:name="_Toc405302401"/>
            <w:bookmarkStart w:id="303" w:name="_Toc405535583"/>
            <w:bookmarkStart w:id="304" w:name="_Toc404565145"/>
            <w:bookmarkStart w:id="305" w:name="_Toc405195231"/>
            <w:bookmarkStart w:id="306" w:name="_Toc404603848"/>
            <w:bookmarkStart w:id="307" w:name="_Toc404779990"/>
            <w:r>
              <w:rPr>
                <w:rFonts w:hint="eastAsia" w:ascii="宋体" w:hAnsi="宋体"/>
                <w:spacing w:val="20"/>
                <w:sz w:val="18"/>
                <w:szCs w:val="18"/>
              </w:rPr>
              <w:t>问题整改验收情况：</w:t>
            </w:r>
            <w:bookmarkEnd w:id="301"/>
            <w:bookmarkEnd w:id="302"/>
            <w:bookmarkEnd w:id="303"/>
            <w:bookmarkEnd w:id="304"/>
            <w:bookmarkEnd w:id="305"/>
            <w:bookmarkEnd w:id="306"/>
            <w:bookmarkEnd w:id="30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5" w:hRule="atLeast"/>
          <w:jc w:val="center"/>
        </w:trPr>
        <w:tc>
          <w:tcPr>
            <w:tcW w:w="9042" w:type="dxa"/>
            <w:gridSpan w:val="4"/>
          </w:tcPr>
          <w:p>
            <w:pPr>
              <w:widowControl/>
              <w:adjustRightInd w:val="0"/>
              <w:snapToGrid w:val="0"/>
              <w:spacing w:line="276" w:lineRule="auto"/>
              <w:rPr>
                <w:rFonts w:ascii="宋体" w:hAnsi="宋体"/>
                <w:spacing w:val="2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042" w:type="dxa"/>
            <w:gridSpan w:val="4"/>
            <w:vAlign w:val="center"/>
          </w:tcPr>
          <w:p>
            <w:pPr>
              <w:widowControl/>
              <w:adjustRightInd w:val="0"/>
              <w:snapToGrid w:val="0"/>
              <w:spacing w:line="276" w:lineRule="auto"/>
              <w:rPr>
                <w:rFonts w:ascii="宋体" w:hAnsi="宋体"/>
                <w:spacing w:val="20"/>
                <w:sz w:val="18"/>
                <w:szCs w:val="18"/>
              </w:rPr>
            </w:pPr>
            <w:bookmarkStart w:id="308" w:name="_Toc405535584"/>
            <w:bookmarkStart w:id="309" w:name="_Toc405765149"/>
            <w:bookmarkStart w:id="310" w:name="_Toc405195232"/>
            <w:bookmarkStart w:id="311" w:name="_Toc404779991"/>
            <w:bookmarkStart w:id="312" w:name="_Toc405302402"/>
            <w:bookmarkStart w:id="313" w:name="_Toc404565146"/>
            <w:bookmarkStart w:id="314" w:name="_Toc404603849"/>
            <w:r>
              <w:rPr>
                <w:rFonts w:hint="eastAsia" w:ascii="宋体" w:hAnsi="宋体"/>
                <w:spacing w:val="20"/>
                <w:sz w:val="18"/>
                <w:szCs w:val="18"/>
              </w:rPr>
              <w:t>监理单位意见:</w:t>
            </w:r>
            <w:bookmarkEnd w:id="308"/>
            <w:bookmarkEnd w:id="309"/>
            <w:bookmarkEnd w:id="310"/>
            <w:bookmarkEnd w:id="311"/>
            <w:bookmarkEnd w:id="312"/>
            <w:bookmarkEnd w:id="313"/>
            <w:bookmarkEnd w:id="3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042" w:type="dxa"/>
            <w:gridSpan w:val="4"/>
            <w:vAlign w:val="center"/>
          </w:tcPr>
          <w:p>
            <w:pPr>
              <w:widowControl/>
              <w:adjustRightInd w:val="0"/>
              <w:snapToGrid w:val="0"/>
              <w:spacing w:line="276" w:lineRule="auto"/>
              <w:rPr>
                <w:rFonts w:ascii="宋体" w:hAnsi="宋体"/>
                <w:spacing w:val="20"/>
                <w:sz w:val="18"/>
                <w:szCs w:val="18"/>
              </w:rPr>
            </w:pPr>
            <w:bookmarkStart w:id="315" w:name="_Toc404779992"/>
            <w:bookmarkStart w:id="316" w:name="_Toc405535585"/>
            <w:bookmarkStart w:id="317" w:name="_Toc405195233"/>
            <w:bookmarkStart w:id="318" w:name="_Toc405302403"/>
            <w:bookmarkStart w:id="319" w:name="_Toc404603850"/>
            <w:bookmarkStart w:id="320" w:name="_Toc405765150"/>
            <w:bookmarkStart w:id="321" w:name="_Toc404565147"/>
            <w:r>
              <w:rPr>
                <w:rFonts w:hint="eastAsia" w:ascii="宋体" w:hAnsi="宋体"/>
                <w:spacing w:val="20"/>
                <w:sz w:val="18"/>
                <w:szCs w:val="18"/>
              </w:rPr>
              <w:t>建设单位意见:</w:t>
            </w:r>
            <w:bookmarkEnd w:id="315"/>
            <w:bookmarkEnd w:id="316"/>
            <w:bookmarkEnd w:id="317"/>
            <w:bookmarkEnd w:id="318"/>
            <w:bookmarkEnd w:id="319"/>
            <w:bookmarkEnd w:id="320"/>
            <w:bookmarkEnd w:id="321"/>
          </w:p>
        </w:tc>
      </w:tr>
    </w:tbl>
    <w:p>
      <w:pPr>
        <w:pStyle w:val="2"/>
        <w:spacing w:before="0" w:after="0" w:line="276" w:lineRule="auto"/>
        <w:rPr>
          <w:rFonts w:ascii="宋体" w:hAnsi="宋体"/>
          <w:sz w:val="28"/>
          <w:szCs w:val="28"/>
        </w:rPr>
      </w:pPr>
      <w:bookmarkStart w:id="322" w:name="_Toc405535586"/>
      <w:bookmarkStart w:id="323" w:name="_Toc405195234"/>
      <w:r>
        <w:rPr>
          <w:rFonts w:ascii="宋体" w:hAnsi="宋体"/>
          <w:sz w:val="28"/>
          <w:szCs w:val="28"/>
        </w:rPr>
        <w:br w:type="page"/>
      </w:r>
      <w:bookmarkStart w:id="324" w:name="_Toc144459647"/>
      <w:r>
        <w:rPr>
          <w:rFonts w:hint="eastAsia" w:ascii="宋体" w:hAnsi="宋体"/>
          <w:sz w:val="28"/>
          <w:szCs w:val="28"/>
        </w:rPr>
        <w:t>9.  施工现场管理制度</w:t>
      </w:r>
      <w:bookmarkEnd w:id="322"/>
      <w:bookmarkEnd w:id="323"/>
      <w:bookmarkEnd w:id="324"/>
    </w:p>
    <w:p>
      <w:pPr>
        <w:pStyle w:val="3"/>
        <w:spacing w:before="0" w:after="0" w:line="276" w:lineRule="auto"/>
        <w:ind w:firstLine="413" w:firstLineChars="196"/>
        <w:rPr>
          <w:rFonts w:ascii="宋体" w:hAnsi="宋体"/>
          <w:sz w:val="21"/>
          <w:szCs w:val="21"/>
        </w:rPr>
      </w:pPr>
      <w:bookmarkStart w:id="325" w:name="_Toc405535587"/>
      <w:bookmarkStart w:id="326" w:name="_Toc405195235"/>
      <w:bookmarkStart w:id="327" w:name="_Toc144459648"/>
      <w:bookmarkStart w:id="328" w:name="_Toc404565149"/>
      <w:r>
        <w:rPr>
          <w:rFonts w:hint="eastAsia" w:ascii="宋体" w:hAnsi="宋体"/>
          <w:sz w:val="21"/>
          <w:szCs w:val="21"/>
        </w:rPr>
        <w:t>9.1  施工现场管理制度</w:t>
      </w:r>
      <w:bookmarkEnd w:id="325"/>
      <w:bookmarkEnd w:id="326"/>
      <w:bookmarkEnd w:id="327"/>
      <w:bookmarkEnd w:id="328"/>
    </w:p>
    <w:p>
      <w:pPr>
        <w:spacing w:line="276" w:lineRule="auto"/>
        <w:ind w:firstLine="420" w:firstLineChars="200"/>
        <w:rPr>
          <w:rFonts w:ascii="宋体" w:hAnsi="宋体"/>
        </w:rPr>
      </w:pPr>
      <w:bookmarkStart w:id="329" w:name="_Toc2464"/>
      <w:bookmarkStart w:id="330" w:name="_Toc11839"/>
      <w:bookmarkStart w:id="331" w:name="_Toc28585"/>
      <w:bookmarkStart w:id="332" w:name="_Toc12933"/>
      <w:r>
        <w:rPr>
          <w:rFonts w:hint="eastAsia" w:ascii="宋体" w:hAnsi="宋体"/>
        </w:rPr>
        <w:t>9.1.1  承包人管理人员管理规定</w:t>
      </w:r>
      <w:bookmarkEnd w:id="329"/>
      <w:bookmarkEnd w:id="330"/>
      <w:bookmarkEnd w:id="331"/>
      <w:bookmarkEnd w:id="332"/>
    </w:p>
    <w:p>
      <w:pPr>
        <w:spacing w:line="276" w:lineRule="auto"/>
        <w:ind w:firstLine="420" w:firstLineChars="200"/>
        <w:rPr>
          <w:rFonts w:ascii="宋体" w:hAnsi="宋体"/>
        </w:rPr>
      </w:pPr>
      <w:r>
        <w:rPr>
          <w:rFonts w:hint="eastAsia" w:ascii="宋体" w:hAnsi="宋体"/>
        </w:rPr>
        <w:t>9.1.1.1承包人必须按本合同及附件进行施工组织，承包人项目部以下管理人员在所辖工程施工期间（包括准备和收尾阶段），均须专职在岗，不得兼任其他项目任何职务；项目经理、项目生产副经理、机电经理、项目总工、质检负责人及其他发包人确认的人员非经发包人书面同意不得擅自更换，否则承担擅自更换人员的违约金：项目经理300万元/人·次，项目生产副经理、机电经理、项目总工、质检负责人、商务经理200万元/人·次，其他发包人确认的人员50万元/人·次。</w:t>
      </w:r>
    </w:p>
    <w:p>
      <w:pPr>
        <w:spacing w:line="276" w:lineRule="auto"/>
        <w:ind w:firstLine="420" w:firstLineChars="200"/>
        <w:rPr>
          <w:rFonts w:ascii="宋体" w:hAnsi="宋体"/>
        </w:rPr>
      </w:pPr>
      <w:r>
        <w:rPr>
          <w:rFonts w:hint="eastAsia" w:ascii="宋体" w:hAnsi="宋体"/>
        </w:rPr>
        <w:t>9.1.1.2  承包人驻本工程的技术负责人及主要管理人员均须有专业任职资格。</w:t>
      </w:r>
    </w:p>
    <w:p>
      <w:pPr>
        <w:spacing w:line="276" w:lineRule="auto"/>
        <w:ind w:firstLine="420" w:firstLineChars="200"/>
        <w:rPr>
          <w:rFonts w:ascii="宋体" w:hAnsi="宋体"/>
        </w:rPr>
      </w:pPr>
      <w:r>
        <w:rPr>
          <w:rFonts w:hint="eastAsia" w:ascii="宋体" w:hAnsi="宋体"/>
        </w:rPr>
        <w:t>9.1.1.3  承包人须在工程现场配置专职质检员、安全员和测量员，其具体要求如下：</w:t>
      </w:r>
    </w:p>
    <w:p>
      <w:pPr>
        <w:spacing w:line="276" w:lineRule="auto"/>
        <w:ind w:firstLine="420" w:firstLineChars="200"/>
        <w:rPr>
          <w:rFonts w:ascii="宋体" w:hAnsi="宋体"/>
        </w:rPr>
      </w:pPr>
      <w:r>
        <w:rPr>
          <w:rFonts w:hint="eastAsia" w:ascii="宋体" w:hAnsi="宋体"/>
        </w:rPr>
        <w:t>9.1.1.3.1  有上岗证。</w:t>
      </w:r>
    </w:p>
    <w:p>
      <w:pPr>
        <w:spacing w:line="276" w:lineRule="auto"/>
        <w:ind w:firstLine="420" w:firstLineChars="200"/>
        <w:rPr>
          <w:rFonts w:ascii="宋体" w:hAnsi="宋体"/>
        </w:rPr>
      </w:pPr>
      <w:r>
        <w:rPr>
          <w:rFonts w:hint="eastAsia" w:ascii="宋体" w:hAnsi="宋体"/>
        </w:rPr>
        <w:t>9.1.1.3.2  具有同等规模工程质检管理经验。</w:t>
      </w:r>
    </w:p>
    <w:p>
      <w:pPr>
        <w:spacing w:line="276" w:lineRule="auto"/>
        <w:ind w:firstLine="420" w:firstLineChars="200"/>
        <w:rPr>
          <w:rFonts w:ascii="宋体" w:hAnsi="宋体"/>
        </w:rPr>
      </w:pPr>
      <w:r>
        <w:rPr>
          <w:rFonts w:hint="eastAsia" w:ascii="宋体" w:hAnsi="宋体"/>
        </w:rPr>
        <w:t>9.1.1.3.3  专职质检员：每一万平方米建筑面积不得少于一人。专职安全员：承包人必须配备具有资质的专职安全管理员并到位，建筑面积5万平方米及以上的标段不少于3人，按土建、机械、机电设备等专业设置专职安全生产管理人员。</w:t>
      </w:r>
    </w:p>
    <w:p>
      <w:pPr>
        <w:tabs>
          <w:tab w:val="left" w:pos="1406"/>
        </w:tabs>
        <w:spacing w:line="360" w:lineRule="auto"/>
        <w:ind w:firstLine="424" w:firstLineChars="202"/>
        <w:rPr>
          <w:rFonts w:ascii="宋体" w:hAnsi="宋体" w:cs="宋体"/>
        </w:rPr>
      </w:pPr>
      <w:r>
        <w:rPr>
          <w:rFonts w:hint="eastAsia" w:ascii="宋体" w:hAnsi="宋体"/>
        </w:rPr>
        <w:t xml:space="preserve">9.1.1.4  </w:t>
      </w:r>
      <w:r>
        <w:rPr>
          <w:rFonts w:hint="eastAsia" w:ascii="宋体" w:hAnsi="宋体" w:cs="宋体"/>
        </w:rPr>
        <w:t>承包人部门设置、派往本工程的所有管理人员的资质与能力等必须与本工程的各项管理目标和管理规定相匹配，否则发包人有权提出更换人员要求，承包人必须接受更换要求。承包人项目经理部人员配备至少满足以下要求：</w:t>
      </w:r>
    </w:p>
    <w:tbl>
      <w:tblPr>
        <w:tblStyle w:val="21"/>
        <w:tblW w:w="756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60"/>
        <w:gridCol w:w="3867"/>
        <w:gridCol w:w="213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5" w:hRule="atLeast"/>
          <w:tblHeader/>
          <w:jc w:val="center"/>
        </w:trPr>
        <w:tc>
          <w:tcPr>
            <w:tcW w:w="1560" w:type="dxa"/>
            <w:vAlign w:val="center"/>
          </w:tcPr>
          <w:p>
            <w:pPr>
              <w:spacing w:line="440" w:lineRule="exact"/>
              <w:jc w:val="center"/>
              <w:rPr>
                <w:rFonts w:ascii="宋体" w:hAnsi="宋体" w:cs="宋体"/>
              </w:rPr>
            </w:pPr>
            <w:r>
              <w:rPr>
                <w:rFonts w:hint="eastAsia" w:ascii="宋体" w:hAnsi="宋体" w:cs="宋体"/>
              </w:rPr>
              <w:t>部室名称</w:t>
            </w:r>
          </w:p>
        </w:tc>
        <w:tc>
          <w:tcPr>
            <w:tcW w:w="3867" w:type="dxa"/>
            <w:vAlign w:val="center"/>
          </w:tcPr>
          <w:p>
            <w:pPr>
              <w:spacing w:line="440" w:lineRule="exact"/>
              <w:jc w:val="center"/>
              <w:rPr>
                <w:rFonts w:ascii="宋体" w:hAnsi="宋体" w:cs="宋体"/>
              </w:rPr>
            </w:pPr>
            <w:r>
              <w:rPr>
                <w:rFonts w:hint="eastAsia" w:ascii="宋体" w:hAnsi="宋体" w:cs="宋体"/>
              </w:rPr>
              <w:t>承包人项目经理部人员配备（人数）</w:t>
            </w:r>
          </w:p>
        </w:tc>
        <w:tc>
          <w:tcPr>
            <w:tcW w:w="2139" w:type="dxa"/>
            <w:vAlign w:val="center"/>
          </w:tcPr>
          <w:p>
            <w:pPr>
              <w:spacing w:line="440" w:lineRule="exact"/>
              <w:ind w:firstLine="420" w:firstLineChars="200"/>
              <w:rPr>
                <w:rFonts w:ascii="宋体" w:hAnsi="宋体" w:cs="宋体"/>
              </w:rPr>
            </w:pPr>
            <w:r>
              <w:rPr>
                <w:rFonts w:hint="eastAsia" w:ascii="宋体" w:hAnsi="宋体" w:cs="宋体"/>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560" w:type="dxa"/>
            <w:vAlign w:val="center"/>
          </w:tcPr>
          <w:p>
            <w:pPr>
              <w:jc w:val="center"/>
              <w:rPr>
                <w:rFonts w:ascii="宋体" w:hAnsi="宋体" w:cs="宋体"/>
              </w:rPr>
            </w:pPr>
            <w:r>
              <w:rPr>
                <w:rFonts w:hint="eastAsia" w:ascii="宋体" w:hAnsi="宋体" w:cs="宋体"/>
              </w:rPr>
              <w:t>项目班子</w:t>
            </w:r>
          </w:p>
        </w:tc>
        <w:tc>
          <w:tcPr>
            <w:tcW w:w="3867" w:type="dxa"/>
            <w:vAlign w:val="center"/>
          </w:tcPr>
          <w:p>
            <w:pPr>
              <w:jc w:val="center"/>
              <w:rPr>
                <w:rFonts w:ascii="宋体" w:hAnsi="宋体" w:cs="宋体"/>
              </w:rPr>
            </w:pPr>
            <w:r>
              <w:rPr>
                <w:rFonts w:hint="eastAsia" w:ascii="宋体" w:hAnsi="宋体" w:cs="宋体"/>
              </w:rPr>
              <w:t>≥7人</w:t>
            </w:r>
          </w:p>
        </w:tc>
        <w:tc>
          <w:tcPr>
            <w:tcW w:w="2139" w:type="dxa"/>
            <w:vAlign w:val="center"/>
          </w:tcPr>
          <w:p>
            <w:pPr>
              <w:jc w:val="center"/>
              <w:rPr>
                <w:rFonts w:ascii="宋体" w:hAnsi="宋体" w:cs="宋体"/>
              </w:rPr>
            </w:pPr>
            <w:r>
              <w:rPr>
                <w:rFonts w:hint="eastAsia" w:ascii="宋体" w:hAnsi="宋体" w:cs="宋体"/>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560" w:type="dxa"/>
            <w:vAlign w:val="center"/>
          </w:tcPr>
          <w:p>
            <w:pPr>
              <w:jc w:val="center"/>
              <w:rPr>
                <w:rFonts w:ascii="宋体" w:hAnsi="宋体" w:cs="宋体"/>
              </w:rPr>
            </w:pPr>
            <w:r>
              <w:rPr>
                <w:rFonts w:hint="eastAsia" w:ascii="宋体" w:hAnsi="宋体" w:cs="宋体"/>
              </w:rPr>
              <w:t>经营预算部</w:t>
            </w:r>
          </w:p>
        </w:tc>
        <w:tc>
          <w:tcPr>
            <w:tcW w:w="3867" w:type="dxa"/>
            <w:vAlign w:val="center"/>
          </w:tcPr>
          <w:p>
            <w:pPr>
              <w:jc w:val="center"/>
              <w:rPr>
                <w:rFonts w:ascii="宋体" w:hAnsi="宋体" w:cs="宋体"/>
              </w:rPr>
            </w:pPr>
            <w:r>
              <w:rPr>
                <w:rFonts w:hint="eastAsia" w:ascii="宋体" w:hAnsi="宋体" w:cs="宋体"/>
              </w:rPr>
              <w:t>≥5人</w:t>
            </w:r>
          </w:p>
        </w:tc>
        <w:tc>
          <w:tcPr>
            <w:tcW w:w="2139" w:type="dxa"/>
            <w:vAlign w:val="center"/>
          </w:tcPr>
          <w:p>
            <w:pPr>
              <w:jc w:val="center"/>
              <w:rPr>
                <w:rFonts w:ascii="宋体" w:hAnsi="宋体" w:cs="宋体"/>
              </w:rPr>
            </w:pPr>
            <w:r>
              <w:rPr>
                <w:rFonts w:hint="eastAsia" w:ascii="宋体" w:hAnsi="宋体" w:cs="宋体"/>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8" w:hRule="exact"/>
          <w:jc w:val="center"/>
        </w:trPr>
        <w:tc>
          <w:tcPr>
            <w:tcW w:w="1560" w:type="dxa"/>
            <w:vAlign w:val="center"/>
          </w:tcPr>
          <w:p>
            <w:pPr>
              <w:jc w:val="center"/>
              <w:rPr>
                <w:rFonts w:ascii="宋体" w:hAnsi="宋体" w:cs="宋体"/>
              </w:rPr>
            </w:pPr>
            <w:r>
              <w:rPr>
                <w:rFonts w:hint="eastAsia" w:ascii="宋体" w:hAnsi="宋体" w:cs="宋体"/>
              </w:rPr>
              <w:t>工程技术部</w:t>
            </w:r>
          </w:p>
        </w:tc>
        <w:tc>
          <w:tcPr>
            <w:tcW w:w="3867" w:type="dxa"/>
            <w:vAlign w:val="center"/>
          </w:tcPr>
          <w:p>
            <w:pPr>
              <w:jc w:val="center"/>
              <w:rPr>
                <w:rFonts w:ascii="宋体" w:hAnsi="宋体" w:cs="宋体"/>
              </w:rPr>
            </w:pPr>
            <w:r>
              <w:rPr>
                <w:rFonts w:hint="eastAsia" w:ascii="宋体" w:hAnsi="宋体" w:cs="宋体"/>
              </w:rPr>
              <w:t>≥10人</w:t>
            </w:r>
          </w:p>
        </w:tc>
        <w:tc>
          <w:tcPr>
            <w:tcW w:w="2139" w:type="dxa"/>
            <w:vAlign w:val="center"/>
          </w:tcPr>
          <w:p>
            <w:pPr>
              <w:jc w:val="center"/>
              <w:rPr>
                <w:rFonts w:ascii="宋体" w:hAnsi="宋体" w:cs="宋体"/>
              </w:rPr>
            </w:pPr>
            <w:r>
              <w:rPr>
                <w:rFonts w:hint="eastAsia" w:ascii="宋体" w:hAnsi="宋体" w:cs="宋体"/>
              </w:rPr>
              <w:t>包括土建、机电安装等各专业技术人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560" w:type="dxa"/>
            <w:vAlign w:val="center"/>
          </w:tcPr>
          <w:p>
            <w:pPr>
              <w:jc w:val="center"/>
              <w:rPr>
                <w:rFonts w:ascii="宋体" w:hAnsi="宋体" w:cs="宋体"/>
              </w:rPr>
            </w:pPr>
            <w:r>
              <w:rPr>
                <w:rFonts w:hint="eastAsia" w:ascii="宋体" w:hAnsi="宋体" w:cs="宋体"/>
              </w:rPr>
              <w:t>安质环保部</w:t>
            </w:r>
          </w:p>
        </w:tc>
        <w:tc>
          <w:tcPr>
            <w:tcW w:w="3867" w:type="dxa"/>
            <w:vAlign w:val="center"/>
          </w:tcPr>
          <w:p>
            <w:pPr>
              <w:jc w:val="center"/>
              <w:rPr>
                <w:rFonts w:ascii="宋体" w:hAnsi="宋体" w:cs="宋体"/>
              </w:rPr>
            </w:pPr>
            <w:r>
              <w:rPr>
                <w:rFonts w:hint="eastAsia" w:ascii="宋体" w:hAnsi="宋体" w:cs="宋体"/>
              </w:rPr>
              <w:t>≥5人</w:t>
            </w:r>
          </w:p>
        </w:tc>
        <w:tc>
          <w:tcPr>
            <w:tcW w:w="2139" w:type="dxa"/>
            <w:vAlign w:val="center"/>
          </w:tcPr>
          <w:p>
            <w:pPr>
              <w:jc w:val="center"/>
              <w:rPr>
                <w:rFonts w:ascii="宋体"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1560" w:type="dxa"/>
            <w:vAlign w:val="center"/>
          </w:tcPr>
          <w:p>
            <w:pPr>
              <w:jc w:val="center"/>
              <w:rPr>
                <w:rFonts w:ascii="宋体" w:hAnsi="宋体" w:cs="宋体"/>
              </w:rPr>
            </w:pPr>
            <w:r>
              <w:rPr>
                <w:rFonts w:hint="eastAsia" w:ascii="宋体" w:hAnsi="宋体" w:cs="宋体"/>
              </w:rPr>
              <w:t>物资设备部</w:t>
            </w:r>
          </w:p>
        </w:tc>
        <w:tc>
          <w:tcPr>
            <w:tcW w:w="3867" w:type="dxa"/>
            <w:vAlign w:val="center"/>
          </w:tcPr>
          <w:p>
            <w:pPr>
              <w:jc w:val="center"/>
              <w:rPr>
                <w:rFonts w:ascii="宋体" w:hAnsi="宋体" w:cs="宋体"/>
              </w:rPr>
            </w:pPr>
            <w:r>
              <w:rPr>
                <w:rFonts w:hint="eastAsia" w:ascii="宋体" w:hAnsi="宋体" w:cs="宋体"/>
              </w:rPr>
              <w:t>≥4人</w:t>
            </w:r>
          </w:p>
        </w:tc>
        <w:tc>
          <w:tcPr>
            <w:tcW w:w="2139" w:type="dxa"/>
            <w:vAlign w:val="center"/>
          </w:tcPr>
          <w:p>
            <w:pPr>
              <w:jc w:val="center"/>
              <w:rPr>
                <w:rFonts w:ascii="宋体" w:hAnsi="宋体" w:cs="宋体"/>
              </w:rPr>
            </w:pPr>
          </w:p>
        </w:tc>
      </w:tr>
    </w:tbl>
    <w:p>
      <w:pPr>
        <w:spacing w:line="276" w:lineRule="auto"/>
        <w:ind w:firstLine="420" w:firstLineChars="200"/>
        <w:rPr>
          <w:rFonts w:ascii="宋体" w:hAnsi="宋体"/>
        </w:rPr>
      </w:pPr>
      <w:r>
        <w:rPr>
          <w:rFonts w:hint="eastAsia" w:ascii="宋体" w:hAnsi="宋体"/>
        </w:rPr>
        <w:t xml:space="preserve">9.1.1.5  承包人项目经理、项目生产副经理、项目总工及现场管理机构主要部门负责人必须全职在现场办公，不得兼职或擅自离岗。因特殊情况需短暂离岗的，应事先报项目公司工程管理部批准，必须妥善安排工地现场的工作交接，并按以下规定执行： </w:t>
      </w:r>
    </w:p>
    <w:p>
      <w:pPr>
        <w:spacing w:line="276" w:lineRule="auto"/>
        <w:ind w:firstLine="420" w:firstLineChars="200"/>
        <w:rPr>
          <w:rFonts w:ascii="宋体" w:hAnsi="宋体"/>
        </w:rPr>
      </w:pPr>
      <w:r>
        <w:rPr>
          <w:rFonts w:hint="eastAsia" w:ascii="宋体" w:hAnsi="宋体"/>
        </w:rPr>
        <w:t xml:space="preserve">（1）承包人项目经理离场1天内，须将工作交接情况知会现场项目监理部项目总监；  </w:t>
      </w:r>
    </w:p>
    <w:p>
      <w:pPr>
        <w:spacing w:line="276" w:lineRule="auto"/>
        <w:ind w:firstLine="420" w:firstLineChars="200"/>
        <w:rPr>
          <w:rFonts w:ascii="宋体" w:hAnsi="宋体"/>
        </w:rPr>
      </w:pPr>
      <w:r>
        <w:rPr>
          <w:rFonts w:hint="eastAsia" w:ascii="宋体" w:hAnsi="宋体"/>
        </w:rPr>
        <w:t xml:space="preserve">（2）承包人项目经理离场2天内，须将工作交接情况知会现场项目监理部项目总监，并经发包人项目公司工程经理批准； </w:t>
      </w:r>
    </w:p>
    <w:p>
      <w:pPr>
        <w:spacing w:line="276" w:lineRule="auto"/>
        <w:ind w:firstLine="420" w:firstLineChars="200"/>
        <w:rPr>
          <w:rFonts w:ascii="宋体" w:hAnsi="宋体"/>
        </w:rPr>
      </w:pPr>
      <w:r>
        <w:rPr>
          <w:rFonts w:hint="eastAsia" w:ascii="宋体" w:hAnsi="宋体"/>
        </w:rPr>
        <w:t xml:space="preserve">（3）承包人项目经理离场3天以上，须将工作交接情况知会发包人项目公司工程经理，并经发包人项目公司项目总监批准； </w:t>
      </w:r>
    </w:p>
    <w:p>
      <w:pPr>
        <w:spacing w:line="276" w:lineRule="auto"/>
        <w:ind w:firstLine="420" w:firstLineChars="200"/>
        <w:rPr>
          <w:rFonts w:ascii="宋体" w:hAnsi="宋体"/>
        </w:rPr>
      </w:pPr>
      <w:r>
        <w:rPr>
          <w:rFonts w:hint="eastAsia" w:ascii="宋体" w:hAnsi="宋体"/>
        </w:rPr>
        <w:t>（4） 但一个月内累计离场时间不得超过3天（含节假日）。否则，承包人承担20000元/天违约金。</w:t>
      </w:r>
    </w:p>
    <w:p>
      <w:pPr>
        <w:spacing w:line="276" w:lineRule="auto"/>
        <w:ind w:firstLine="420" w:firstLineChars="200"/>
        <w:rPr>
          <w:rFonts w:ascii="宋体" w:hAnsi="宋体"/>
        </w:rPr>
      </w:pPr>
      <w:r>
        <w:rPr>
          <w:rFonts w:hint="eastAsia" w:ascii="宋体" w:hAnsi="宋体"/>
        </w:rPr>
        <w:t>（5）承包人项目经理每月累计超过5天不在项目现场时，发包人有权更换项目经理。</w:t>
      </w:r>
    </w:p>
    <w:p>
      <w:pPr>
        <w:spacing w:line="276" w:lineRule="auto"/>
        <w:ind w:firstLine="420" w:firstLineChars="200"/>
        <w:rPr>
          <w:rFonts w:ascii="宋体" w:hAnsi="宋体"/>
        </w:rPr>
      </w:pPr>
    </w:p>
    <w:p>
      <w:pPr>
        <w:spacing w:line="276" w:lineRule="auto"/>
        <w:ind w:firstLine="420" w:firstLineChars="200"/>
        <w:rPr>
          <w:rFonts w:ascii="宋体" w:hAnsi="宋体"/>
        </w:rPr>
      </w:pPr>
      <w:r>
        <w:rPr>
          <w:rFonts w:hint="eastAsia" w:ascii="宋体" w:hAnsi="宋体"/>
        </w:rPr>
        <w:t>9.1.1.6  承包人以下人员按发包人要求必须在2天内调离本工程范围，否则发包人将给予处罚，同时承包人须在5天内用发包人批准的、合格的人员代替下述调离的任何人员：</w:t>
      </w:r>
    </w:p>
    <w:p>
      <w:pPr>
        <w:spacing w:line="276" w:lineRule="auto"/>
        <w:ind w:firstLine="420" w:firstLineChars="200"/>
        <w:rPr>
          <w:rFonts w:ascii="宋体" w:hAnsi="宋体"/>
        </w:rPr>
      </w:pPr>
      <w:r>
        <w:rPr>
          <w:rFonts w:hint="eastAsia" w:ascii="宋体" w:hAnsi="宋体"/>
        </w:rPr>
        <w:t>9.1.1.6.1  发包人要求承包人撤换不合格人员，承包人必须立即执行。如果发包人的撤换通知下达７天后，承包人仍拒不执行，则视为承包人无足够人员：发包人撤换不合格项目经理时，承包人须按100万元/人次向发包人支付违约金；发包人撤换其他不合格人员时，承包人须按50万元/人次向发包人支付违约金。承包人应 3天内报送拟调任人员给发包人项目公司，得到发包人项目公司批准后，拟调任人员需在2天内到任。</w:t>
      </w:r>
    </w:p>
    <w:p>
      <w:pPr>
        <w:spacing w:line="276" w:lineRule="auto"/>
        <w:ind w:firstLine="420" w:firstLineChars="200"/>
        <w:rPr>
          <w:rFonts w:ascii="宋体" w:hAnsi="宋体"/>
        </w:rPr>
      </w:pPr>
      <w:r>
        <w:rPr>
          <w:rFonts w:hint="eastAsia" w:ascii="宋体" w:hAnsi="宋体"/>
        </w:rPr>
        <w:t>9.1.1.6.2  发包人确认无法胜任工作者，包括：对分部分项工程施工进度及施工质量达不到合同要求负有责任的施工人员、不熟悉本专业工作的施工人员、工作责任心不强的施工人员等等.</w:t>
      </w:r>
    </w:p>
    <w:p>
      <w:pPr>
        <w:spacing w:line="276" w:lineRule="auto"/>
        <w:ind w:firstLine="420" w:firstLineChars="200"/>
        <w:rPr>
          <w:rFonts w:ascii="宋体" w:hAnsi="宋体"/>
        </w:rPr>
      </w:pPr>
      <w:r>
        <w:rPr>
          <w:rFonts w:hint="eastAsia" w:ascii="宋体" w:hAnsi="宋体"/>
        </w:rPr>
        <w:t>9.1.1.6.3  在接到发包人通知后不能积极配合发包人正常工作（包括销售）者。</w:t>
      </w:r>
    </w:p>
    <w:p>
      <w:pPr>
        <w:spacing w:line="276" w:lineRule="auto"/>
        <w:ind w:firstLine="420" w:firstLineChars="200"/>
        <w:rPr>
          <w:rFonts w:ascii="宋体" w:hAnsi="宋体"/>
        </w:rPr>
      </w:pPr>
      <w:r>
        <w:rPr>
          <w:rFonts w:hint="eastAsia" w:ascii="宋体" w:hAnsi="宋体"/>
        </w:rPr>
        <w:t>9.1.1.6.4  违反发包人或承包人工地现场管理规定者。</w:t>
      </w:r>
    </w:p>
    <w:p>
      <w:pPr>
        <w:spacing w:line="276" w:lineRule="auto"/>
        <w:ind w:firstLine="420" w:firstLineChars="200"/>
        <w:rPr>
          <w:rFonts w:ascii="宋体" w:hAnsi="宋体"/>
        </w:rPr>
      </w:pPr>
      <w:r>
        <w:rPr>
          <w:rFonts w:hint="eastAsia" w:ascii="宋体" w:hAnsi="宋体"/>
        </w:rPr>
        <w:t>9.1.1.6.5  无证上岗者（包括按国家规定须持有上岗证）。</w:t>
      </w:r>
    </w:p>
    <w:p>
      <w:pPr>
        <w:spacing w:line="276" w:lineRule="auto"/>
        <w:ind w:firstLine="420" w:firstLineChars="200"/>
        <w:rPr>
          <w:rFonts w:ascii="宋体" w:hAnsi="宋体"/>
        </w:rPr>
      </w:pPr>
      <w:r>
        <w:rPr>
          <w:rFonts w:hint="eastAsia" w:ascii="宋体" w:hAnsi="宋体"/>
        </w:rPr>
        <w:t>9.1.1.6.6  与被发包人批准的施工组织设计所定名册不符者。</w:t>
      </w:r>
    </w:p>
    <w:p>
      <w:pPr>
        <w:spacing w:line="276" w:lineRule="auto"/>
        <w:ind w:firstLine="420" w:firstLineChars="200"/>
        <w:rPr>
          <w:rFonts w:ascii="宋体" w:hAnsi="宋体"/>
        </w:rPr>
      </w:pPr>
      <w:r>
        <w:rPr>
          <w:rFonts w:hint="eastAsia" w:ascii="宋体" w:hAnsi="宋体"/>
        </w:rPr>
        <w:t>9.1.1.6.7  与本工程施工无关的人员。</w:t>
      </w:r>
    </w:p>
    <w:p>
      <w:pPr>
        <w:spacing w:line="276" w:lineRule="auto"/>
        <w:ind w:firstLine="420" w:firstLineChars="200"/>
        <w:rPr>
          <w:rFonts w:ascii="宋体" w:hAnsi="宋体"/>
        </w:rPr>
      </w:pPr>
      <w:bookmarkStart w:id="333" w:name="_Toc19983"/>
      <w:bookmarkStart w:id="334" w:name="_Toc23228"/>
      <w:bookmarkStart w:id="335" w:name="_Toc6025"/>
      <w:bookmarkStart w:id="336" w:name="_Toc5972"/>
      <w:r>
        <w:rPr>
          <w:rFonts w:hint="eastAsia" w:ascii="宋体" w:hAnsi="宋体"/>
        </w:rPr>
        <w:t>9.1.1.7  因特殊原因经发包人书面同意更换或发包人要求撤换的项目经理、项目总工、项目安全总监、专职质检员，后任者的资质仍必须满足本合同的要求，且其后任必须无条件和全面的继续承担前任应负的责任以及履行前任签署的所有文件。</w:t>
      </w:r>
    </w:p>
    <w:p>
      <w:pPr>
        <w:spacing w:line="276" w:lineRule="auto"/>
        <w:ind w:firstLine="420" w:firstLineChars="200"/>
        <w:rPr>
          <w:rFonts w:ascii="宋体" w:hAnsi="宋体"/>
        </w:rPr>
      </w:pPr>
      <w:r>
        <w:rPr>
          <w:rFonts w:hint="eastAsia" w:ascii="宋体" w:hAnsi="宋体"/>
        </w:rPr>
        <w:t>9.1.2  现场安全、文明管理规定</w:t>
      </w:r>
      <w:bookmarkEnd w:id="333"/>
      <w:bookmarkEnd w:id="334"/>
      <w:bookmarkEnd w:id="335"/>
      <w:bookmarkEnd w:id="336"/>
    </w:p>
    <w:p>
      <w:pPr>
        <w:spacing w:line="276" w:lineRule="auto"/>
        <w:ind w:firstLine="420" w:firstLineChars="200"/>
        <w:rPr>
          <w:rFonts w:ascii="宋体" w:hAnsi="宋体"/>
        </w:rPr>
      </w:pPr>
      <w:bookmarkStart w:id="337" w:name="_Toc74718376"/>
      <w:bookmarkStart w:id="338" w:name="_Toc74718903"/>
      <w:r>
        <w:rPr>
          <w:rFonts w:hint="eastAsia" w:ascii="宋体" w:hAnsi="宋体"/>
        </w:rPr>
        <w:t>9.1.2.1  工程现场安全管理授权监理全权负责，承包人必须服从监理的管理，认真完成监理所发出的指令。</w:t>
      </w:r>
    </w:p>
    <w:p>
      <w:pPr>
        <w:spacing w:line="276" w:lineRule="auto"/>
        <w:ind w:firstLine="420" w:firstLineChars="200"/>
        <w:rPr>
          <w:rFonts w:ascii="宋体" w:hAnsi="宋体"/>
        </w:rPr>
      </w:pPr>
      <w:r>
        <w:rPr>
          <w:rFonts w:hint="eastAsia" w:ascii="宋体" w:hAnsi="宋体"/>
        </w:rPr>
        <w:t>9.1.2.2  现场安全按照《国家及地方施工安全检查评分标准》和本合同附件《中铁诺德城市投资有限公司工程安全管理规定（试行）》、监理人的管理要求及有关建筑施工安全技术规范实施。承包人所有进入现场的人员严格遵守各项安全管理规定。否则将导致不同额度的罚款，罚款可从施工单位任何款项中扣除。</w:t>
      </w:r>
    </w:p>
    <w:p>
      <w:pPr>
        <w:spacing w:line="276" w:lineRule="auto"/>
        <w:ind w:firstLine="420" w:firstLineChars="200"/>
        <w:rPr>
          <w:rFonts w:ascii="宋体" w:hAnsi="宋体"/>
        </w:rPr>
      </w:pPr>
      <w:r>
        <w:rPr>
          <w:rFonts w:hint="eastAsia" w:ascii="宋体" w:hAnsi="宋体"/>
        </w:rPr>
        <w:t>9.1.2.3  每月由项</w:t>
      </w:r>
      <w:r>
        <w:rPr>
          <w:rFonts w:hint="eastAsia" w:ascii="宋体" w:hAnsi="宋体"/>
          <w:kern w:val="0"/>
        </w:rPr>
        <w:t>目发包人</w:t>
      </w:r>
      <w:r>
        <w:rPr>
          <w:rFonts w:hint="eastAsia" w:ascii="宋体" w:hAnsi="宋体"/>
        </w:rPr>
        <w:t>定期组织对承包人进行施工合作单位信用评价。</w:t>
      </w:r>
    </w:p>
    <w:p>
      <w:pPr>
        <w:spacing w:line="276" w:lineRule="auto"/>
        <w:ind w:firstLine="420" w:firstLineChars="200"/>
        <w:rPr>
          <w:rFonts w:ascii="宋体" w:hAnsi="宋体"/>
        </w:rPr>
      </w:pPr>
      <w:r>
        <w:rPr>
          <w:rFonts w:hint="eastAsia" w:ascii="宋体" w:hAnsi="宋体"/>
        </w:rPr>
        <w:t>9.1.2.4  对进入施工现场的管理及施工人员均要求佩戴工作牌。</w:t>
      </w:r>
    </w:p>
    <w:p>
      <w:pPr>
        <w:spacing w:line="276" w:lineRule="auto"/>
        <w:ind w:firstLine="420" w:firstLineChars="200"/>
        <w:rPr>
          <w:rFonts w:ascii="宋体" w:hAnsi="宋体"/>
        </w:rPr>
      </w:pPr>
      <w:bookmarkStart w:id="339" w:name="_Toc14231"/>
      <w:bookmarkStart w:id="340" w:name="_Toc23548"/>
      <w:bookmarkStart w:id="341" w:name="_Toc2064"/>
      <w:bookmarkStart w:id="342" w:name="_Toc3150"/>
      <w:r>
        <w:rPr>
          <w:rFonts w:hint="eastAsia" w:ascii="宋体" w:hAnsi="宋体"/>
        </w:rPr>
        <w:t>9.1.3  现场临时水电使用管理规定</w:t>
      </w:r>
      <w:bookmarkEnd w:id="339"/>
      <w:bookmarkEnd w:id="340"/>
      <w:bookmarkEnd w:id="341"/>
      <w:bookmarkEnd w:id="342"/>
    </w:p>
    <w:bookmarkEnd w:id="337"/>
    <w:bookmarkEnd w:id="338"/>
    <w:p>
      <w:pPr>
        <w:spacing w:line="276" w:lineRule="auto"/>
        <w:ind w:firstLine="420" w:firstLineChars="200"/>
        <w:rPr>
          <w:rFonts w:ascii="宋体" w:hAnsi="宋体"/>
        </w:rPr>
      </w:pPr>
      <w:r>
        <w:rPr>
          <w:rFonts w:hint="eastAsia" w:ascii="宋体" w:hAnsi="宋体"/>
        </w:rPr>
        <w:t>9.1.3.1  现场临时用电安全管理必须遵守国家《施工现场临时用电安全技术规范》</w:t>
      </w:r>
      <w:r>
        <w:rPr>
          <w:rFonts w:ascii="宋体" w:hAnsi="宋体"/>
        </w:rPr>
        <w:t>(GJG46-20</w:t>
      </w:r>
      <w:r>
        <w:rPr>
          <w:rFonts w:hint="eastAsia" w:ascii="宋体" w:hAnsi="宋体"/>
        </w:rPr>
        <w:t>12</w:t>
      </w:r>
      <w:r>
        <w:rPr>
          <w:rFonts w:ascii="宋体" w:hAnsi="宋体"/>
        </w:rPr>
        <w:t>)</w:t>
      </w:r>
      <w:r>
        <w:rPr>
          <w:rFonts w:hint="eastAsia" w:ascii="宋体" w:hAnsi="宋体"/>
        </w:rPr>
        <w:t>中有关规定。</w:t>
      </w:r>
    </w:p>
    <w:p>
      <w:pPr>
        <w:spacing w:line="276" w:lineRule="auto"/>
        <w:ind w:firstLine="420" w:firstLineChars="200"/>
        <w:rPr>
          <w:rFonts w:ascii="宋体" w:hAnsi="宋体"/>
        </w:rPr>
      </w:pPr>
      <w:r>
        <w:rPr>
          <w:rFonts w:hint="eastAsia" w:ascii="宋体" w:hAnsi="宋体"/>
        </w:rPr>
        <w:t>9.1.3.2  现场水电管理制度</w:t>
      </w:r>
    </w:p>
    <w:p>
      <w:pPr>
        <w:spacing w:line="276" w:lineRule="auto"/>
        <w:ind w:firstLine="420" w:firstLineChars="200"/>
        <w:rPr>
          <w:rFonts w:ascii="宋体" w:hAnsi="宋体"/>
        </w:rPr>
      </w:pPr>
      <w:r>
        <w:rPr>
          <w:rFonts w:hint="eastAsia" w:ascii="宋体" w:hAnsi="宋体"/>
        </w:rPr>
        <w:t>9.1.3.2.1  各承包人施工和生活用水、用电必须按国家规范和现场情况向发包人报送临时用水、用电方案，方案经过发包人同意后，方可安装。</w:t>
      </w:r>
    </w:p>
    <w:p>
      <w:pPr>
        <w:spacing w:line="276" w:lineRule="auto"/>
        <w:ind w:firstLine="420" w:firstLineChars="200"/>
        <w:rPr>
          <w:rFonts w:ascii="宋体" w:hAnsi="宋体"/>
        </w:rPr>
      </w:pPr>
      <w:r>
        <w:rPr>
          <w:rFonts w:hint="eastAsia" w:ascii="宋体" w:hAnsi="宋体"/>
        </w:rPr>
        <w:t>9.1.3.2.2  承包人进场，由发包人指定施工用水、用电接驳点，承包人加挂水表、电表计量，同时作好底数记录。不得擅自接驳，一经发现将给予处罚。水表及电表必须经过强检。</w:t>
      </w:r>
    </w:p>
    <w:p>
      <w:pPr>
        <w:spacing w:line="276" w:lineRule="auto"/>
        <w:ind w:firstLine="420" w:firstLineChars="200"/>
        <w:rPr>
          <w:rFonts w:ascii="宋体" w:hAnsi="宋体"/>
        </w:rPr>
      </w:pPr>
      <w:r>
        <w:rPr>
          <w:rFonts w:hint="eastAsia" w:ascii="宋体" w:hAnsi="宋体"/>
        </w:rPr>
        <w:t>9.1.3.2.3  考虑用水紧张，承包人要注意节约用水，不要造成无谓的浪费。承包人必须对管道进行维护保养，如发现大量漏水或水、电表损坏，发包人及监理将有权做出罚款、并作增加当月用水、用电量处理。发现表坏，应及时更换，更换时要通知发包人作好记录。</w:t>
      </w:r>
    </w:p>
    <w:p>
      <w:pPr>
        <w:spacing w:line="276" w:lineRule="auto"/>
        <w:ind w:firstLine="420" w:firstLineChars="200"/>
        <w:rPr>
          <w:rFonts w:ascii="宋体" w:hAnsi="宋体"/>
        </w:rPr>
      </w:pPr>
      <w:r>
        <w:rPr>
          <w:rFonts w:hint="eastAsia" w:ascii="宋体" w:hAnsi="宋体"/>
        </w:rPr>
        <w:t>9.1.3.2.4  各承包人用水用电，均应经发包人同意。</w:t>
      </w:r>
    </w:p>
    <w:p>
      <w:pPr>
        <w:spacing w:line="276" w:lineRule="auto"/>
        <w:ind w:firstLine="420" w:firstLineChars="200"/>
        <w:rPr>
          <w:rFonts w:ascii="宋体" w:hAnsi="宋体"/>
        </w:rPr>
      </w:pPr>
      <w:r>
        <w:rPr>
          <w:rFonts w:hint="eastAsia" w:ascii="宋体" w:hAnsi="宋体"/>
        </w:rPr>
        <w:t>9.1.3.2.5  各承包人用水、用电，均应按总承包人的要求进行接挂。</w:t>
      </w:r>
    </w:p>
    <w:p>
      <w:pPr>
        <w:spacing w:line="276" w:lineRule="auto"/>
        <w:ind w:firstLine="420" w:firstLineChars="200"/>
        <w:rPr>
          <w:rFonts w:ascii="宋体" w:hAnsi="宋体"/>
        </w:rPr>
      </w:pPr>
      <w:r>
        <w:rPr>
          <w:rFonts w:hint="eastAsia" w:ascii="宋体" w:hAnsi="宋体"/>
        </w:rPr>
        <w:t>9.1.3.3</w:t>
      </w:r>
      <w:r>
        <w:rPr>
          <w:rFonts w:ascii="宋体" w:hAnsi="宋体"/>
        </w:rPr>
        <w:t xml:space="preserve">  </w:t>
      </w:r>
      <w:r>
        <w:rPr>
          <w:rFonts w:hint="eastAsia" w:ascii="宋体" w:hAnsi="宋体"/>
        </w:rPr>
        <w:t>承包人负责</w:t>
      </w:r>
      <w:r>
        <w:rPr>
          <w:rFonts w:hint="eastAsia" w:ascii="宋体" w:hAnsi="宋体"/>
          <w:kern w:val="0"/>
        </w:rPr>
        <w:t>本项目</w:t>
      </w:r>
      <w:r>
        <w:rPr>
          <w:rFonts w:hint="eastAsia" w:ascii="宋体" w:hAnsi="宋体"/>
        </w:rPr>
        <w:t>的用电安全。发现安全隐患，立即整改。</w:t>
      </w:r>
    </w:p>
    <w:p>
      <w:pPr>
        <w:spacing w:line="276" w:lineRule="auto"/>
        <w:ind w:firstLine="420" w:firstLineChars="200"/>
        <w:rPr>
          <w:rFonts w:ascii="宋体" w:hAnsi="宋体"/>
        </w:rPr>
      </w:pPr>
      <w:r>
        <w:rPr>
          <w:rFonts w:hint="eastAsia" w:ascii="宋体" w:hAnsi="宋体"/>
        </w:rPr>
        <w:t>9.1.4  工程资料管理规定</w:t>
      </w:r>
    </w:p>
    <w:p>
      <w:pPr>
        <w:spacing w:line="276" w:lineRule="auto"/>
        <w:ind w:firstLine="420" w:firstLineChars="200"/>
        <w:rPr>
          <w:rFonts w:ascii="宋体" w:hAnsi="宋体"/>
        </w:rPr>
      </w:pPr>
      <w:r>
        <w:rPr>
          <w:rFonts w:hint="eastAsia" w:ascii="宋体" w:hAnsi="宋体"/>
        </w:rPr>
        <w:t>9.1.4.1  工程档案资料的编写必须与工程施工进度同步，施工质量验收资料（如：检验批、隐蔽验收资料）必须在报请监理（建设）单位验收时提交，否则监理（建设）单位有权拒绝验收，造成工期延误，责任由承包人承担。</w:t>
      </w:r>
    </w:p>
    <w:p>
      <w:pPr>
        <w:spacing w:line="276" w:lineRule="auto"/>
        <w:ind w:firstLine="420" w:firstLineChars="200"/>
        <w:rPr>
          <w:rFonts w:ascii="宋体" w:hAnsi="宋体"/>
        </w:rPr>
      </w:pPr>
      <w:r>
        <w:rPr>
          <w:rFonts w:hint="eastAsia" w:ascii="宋体" w:hAnsi="宋体"/>
        </w:rPr>
        <w:t>9.1.4.2  各承包单位必须</w:t>
      </w:r>
      <w:r>
        <w:rPr>
          <w:rFonts w:hint="eastAsia" w:ascii="宋体" w:hAnsi="宋体"/>
          <w:kern w:val="0"/>
        </w:rPr>
        <w:t>按照发包人</w:t>
      </w:r>
      <w:r>
        <w:rPr>
          <w:rFonts w:hint="eastAsia" w:ascii="宋体" w:hAnsi="宋体"/>
        </w:rPr>
        <w:t>总体竣工验收及备案时间安排，及时整理有关工程竣工验收资料，因承包人不配合及时整理提交有关工程竣工验收档案资料，延误了整体竣工验收时间及工程备案，每延误一天承包人需按所承包工程总造价的2‰向发包人支付违约金。</w:t>
      </w:r>
    </w:p>
    <w:p>
      <w:pPr>
        <w:pStyle w:val="3"/>
        <w:spacing w:before="0" w:after="0" w:line="276" w:lineRule="auto"/>
        <w:ind w:firstLine="413" w:firstLineChars="196"/>
        <w:rPr>
          <w:rFonts w:ascii="宋体" w:hAnsi="宋体"/>
          <w:sz w:val="21"/>
          <w:szCs w:val="21"/>
        </w:rPr>
      </w:pPr>
      <w:bookmarkStart w:id="343" w:name="_Toc144459649"/>
      <w:bookmarkStart w:id="344" w:name="_Toc404565150"/>
      <w:bookmarkStart w:id="345" w:name="_Toc405195236"/>
      <w:bookmarkStart w:id="346" w:name="_Toc21323"/>
      <w:bookmarkStart w:id="347" w:name="_Toc4630"/>
      <w:bookmarkStart w:id="348" w:name="_Toc5000"/>
      <w:bookmarkStart w:id="349" w:name="_Toc29692"/>
      <w:bookmarkStart w:id="350" w:name="_Toc405535588"/>
      <w:r>
        <w:rPr>
          <w:rFonts w:hint="eastAsia" w:ascii="宋体" w:hAnsi="宋体"/>
          <w:sz w:val="21"/>
          <w:szCs w:val="21"/>
        </w:rPr>
        <w:t>9.2  施工管理奖罚规定</w:t>
      </w:r>
      <w:bookmarkEnd w:id="343"/>
      <w:bookmarkEnd w:id="344"/>
      <w:bookmarkEnd w:id="345"/>
      <w:bookmarkEnd w:id="346"/>
      <w:bookmarkEnd w:id="347"/>
      <w:bookmarkEnd w:id="348"/>
      <w:bookmarkEnd w:id="349"/>
      <w:bookmarkEnd w:id="350"/>
    </w:p>
    <w:p>
      <w:pPr>
        <w:spacing w:line="276" w:lineRule="auto"/>
        <w:ind w:firstLine="420" w:firstLineChars="200"/>
        <w:rPr>
          <w:rFonts w:ascii="宋体" w:hAnsi="宋体"/>
        </w:rPr>
      </w:pPr>
      <w:bookmarkStart w:id="351" w:name="_Toc1324"/>
      <w:bookmarkStart w:id="352" w:name="_Toc20258"/>
      <w:bookmarkStart w:id="353" w:name="_Toc8358"/>
      <w:bookmarkStart w:id="354" w:name="_Toc32144"/>
      <w:r>
        <w:rPr>
          <w:rFonts w:hint="eastAsia" w:ascii="宋体" w:hAnsi="宋体"/>
        </w:rPr>
        <w:t>9.2.1  总则</w:t>
      </w:r>
      <w:bookmarkEnd w:id="351"/>
      <w:bookmarkEnd w:id="352"/>
      <w:bookmarkEnd w:id="353"/>
      <w:bookmarkEnd w:id="354"/>
    </w:p>
    <w:p>
      <w:pPr>
        <w:spacing w:line="276" w:lineRule="auto"/>
        <w:ind w:firstLine="420" w:firstLineChars="200"/>
        <w:rPr>
          <w:rFonts w:ascii="宋体" w:hAnsi="宋体"/>
        </w:rPr>
      </w:pPr>
      <w:r>
        <w:rPr>
          <w:rFonts w:hint="eastAsia" w:ascii="宋体" w:hAnsi="宋体"/>
        </w:rPr>
        <w:t>9.2.1.1  所有奖罚决定均由发包人以《通知单》的形式通知监理、承包人，并在规定的奖罚周期内统一发放或扣取。</w:t>
      </w:r>
    </w:p>
    <w:p>
      <w:pPr>
        <w:spacing w:line="276" w:lineRule="auto"/>
        <w:ind w:firstLine="420" w:firstLineChars="200"/>
        <w:rPr>
          <w:rFonts w:ascii="宋体" w:hAnsi="宋体"/>
        </w:rPr>
      </w:pPr>
      <w:r>
        <w:rPr>
          <w:rFonts w:hint="eastAsia" w:ascii="宋体" w:hAnsi="宋体"/>
        </w:rPr>
        <w:t>9.2.1.2  对每发现的一次违规行为的处罚只执行一次，不得重复处罚。</w:t>
      </w:r>
    </w:p>
    <w:p>
      <w:pPr>
        <w:spacing w:line="276" w:lineRule="auto"/>
        <w:ind w:firstLine="420" w:firstLineChars="200"/>
        <w:rPr>
          <w:rFonts w:ascii="宋体" w:hAnsi="宋体"/>
        </w:rPr>
      </w:pPr>
      <w:r>
        <w:rPr>
          <w:rFonts w:hint="eastAsia" w:ascii="宋体" w:hAnsi="宋体"/>
        </w:rPr>
        <w:t>9.2.1.3  本制度涉及的所有罚金均由发包人在任意阶段付款中和监理费用中直接扣除。</w:t>
      </w:r>
    </w:p>
    <w:p>
      <w:pPr>
        <w:spacing w:line="276" w:lineRule="auto"/>
        <w:ind w:firstLine="420" w:firstLineChars="200"/>
        <w:rPr>
          <w:rFonts w:ascii="宋体" w:hAnsi="宋体"/>
        </w:rPr>
      </w:pPr>
      <w:r>
        <w:rPr>
          <w:rFonts w:hint="eastAsia" w:ascii="宋体" w:hAnsi="宋体"/>
        </w:rPr>
        <w:t>9.2.1.4  承包人的违规行为被处罚，但：</w:t>
      </w:r>
    </w:p>
    <w:p>
      <w:pPr>
        <w:spacing w:line="276" w:lineRule="auto"/>
        <w:ind w:firstLine="420" w:firstLineChars="200"/>
        <w:rPr>
          <w:rFonts w:ascii="宋体" w:hAnsi="宋体"/>
        </w:rPr>
      </w:pPr>
      <w:r>
        <w:rPr>
          <w:rFonts w:hint="eastAsia" w:ascii="宋体" w:hAnsi="宋体"/>
        </w:rPr>
        <w:t>9.2.1.4.1  并不免除其承包合同约定及政府法规规定其应尽的履行承包合同的义务和须承担的责任。</w:t>
      </w:r>
    </w:p>
    <w:p>
      <w:pPr>
        <w:spacing w:line="276" w:lineRule="auto"/>
        <w:ind w:firstLine="420" w:firstLineChars="200"/>
        <w:rPr>
          <w:rFonts w:ascii="宋体" w:hAnsi="宋体"/>
        </w:rPr>
      </w:pPr>
      <w:r>
        <w:rPr>
          <w:rFonts w:hint="eastAsia" w:ascii="宋体" w:hAnsi="宋体"/>
        </w:rPr>
        <w:t>9.2.1.4.2  并不免除政府对其作出的任何处罚。</w:t>
      </w:r>
    </w:p>
    <w:p>
      <w:pPr>
        <w:spacing w:line="276" w:lineRule="auto"/>
        <w:ind w:firstLine="420" w:firstLineChars="200"/>
        <w:rPr>
          <w:rFonts w:ascii="宋体" w:hAnsi="宋体"/>
        </w:rPr>
      </w:pPr>
      <w:r>
        <w:rPr>
          <w:rFonts w:hint="eastAsia" w:ascii="宋体" w:hAnsi="宋体"/>
        </w:rPr>
        <w:t>9.2.1.4.3  并不免除因其违规行为对发包人、物业拥有人及物业使用人所造成损失的赔偿责任。</w:t>
      </w:r>
    </w:p>
    <w:p>
      <w:pPr>
        <w:spacing w:line="276" w:lineRule="auto"/>
        <w:ind w:firstLine="420" w:firstLineChars="200"/>
        <w:rPr>
          <w:rFonts w:ascii="宋体" w:hAnsi="宋体"/>
        </w:rPr>
      </w:pPr>
      <w:r>
        <w:rPr>
          <w:rFonts w:hint="eastAsia" w:ascii="宋体" w:hAnsi="宋体"/>
        </w:rPr>
        <w:t>9.2.1.5  承包人按本规定受处罚后并不免除按本合同约定应承担的违约责任。</w:t>
      </w:r>
    </w:p>
    <w:p>
      <w:pPr>
        <w:spacing w:line="276" w:lineRule="auto"/>
        <w:ind w:firstLine="420" w:firstLineChars="200"/>
        <w:rPr>
          <w:rFonts w:ascii="宋体" w:hAnsi="宋体"/>
        </w:rPr>
      </w:pPr>
      <w:bookmarkStart w:id="355" w:name="_Toc18713"/>
      <w:bookmarkStart w:id="356" w:name="_Toc16659"/>
      <w:bookmarkStart w:id="357" w:name="_Toc21074"/>
      <w:bookmarkStart w:id="358" w:name="_Toc7319"/>
      <w:r>
        <w:rPr>
          <w:rFonts w:hint="eastAsia" w:ascii="宋体" w:hAnsi="宋体"/>
        </w:rPr>
        <w:t>9.2.2  施工单位奖励细则</w:t>
      </w:r>
    </w:p>
    <w:p>
      <w:pPr>
        <w:spacing w:line="276" w:lineRule="auto"/>
        <w:ind w:firstLine="420" w:firstLineChars="200"/>
        <w:rPr>
          <w:rFonts w:ascii="宋体" w:hAnsi="宋体"/>
        </w:rPr>
      </w:pPr>
      <w:r>
        <w:rPr>
          <w:rFonts w:hint="eastAsia" w:ascii="宋体" w:hAnsi="宋体"/>
        </w:rPr>
        <w:t>9.2.2.1  及时提出重大设计错漏，避免发包人重大损失的，每次给予相关现场管理人员每人500-1000元奖励。</w:t>
      </w:r>
    </w:p>
    <w:p>
      <w:pPr>
        <w:spacing w:line="276" w:lineRule="auto"/>
        <w:ind w:firstLine="420" w:firstLineChars="200"/>
        <w:rPr>
          <w:rFonts w:ascii="宋体" w:hAnsi="宋体"/>
        </w:rPr>
      </w:pPr>
      <w:r>
        <w:rPr>
          <w:rFonts w:hint="eastAsia" w:ascii="宋体" w:hAnsi="宋体"/>
        </w:rPr>
        <w:t>9.2.2.2  投资合理化建议经发包人采用，给予相关现场管理人员总额不超过降低成本额20%的奖励（每次每人最少不低于1000元，最多不超过5000元）。</w:t>
      </w:r>
    </w:p>
    <w:p>
      <w:pPr>
        <w:spacing w:line="276" w:lineRule="auto"/>
        <w:ind w:firstLine="420" w:firstLineChars="200"/>
        <w:rPr>
          <w:rFonts w:ascii="宋体" w:hAnsi="宋体"/>
        </w:rPr>
      </w:pPr>
      <w:r>
        <w:rPr>
          <w:rFonts w:hint="eastAsia" w:ascii="宋体" w:hAnsi="宋体"/>
        </w:rPr>
        <w:t>9.2.2.3  质量控制中表现突出的施工现场管理人员，在月度例会上受到发包人通报表扬的，每次每人给予500元奖励。</w:t>
      </w:r>
    </w:p>
    <w:p>
      <w:pPr>
        <w:spacing w:line="276" w:lineRule="auto"/>
        <w:ind w:firstLine="420" w:firstLineChars="200"/>
        <w:rPr>
          <w:rFonts w:ascii="宋体" w:hAnsi="宋体"/>
        </w:rPr>
      </w:pPr>
      <w:r>
        <w:rPr>
          <w:rFonts w:hint="eastAsia" w:ascii="宋体" w:hAnsi="宋体"/>
        </w:rPr>
        <w:t>9.2.2.4  参与发包人新技术、新部品研究及质量问题攻关，提出有效成果，每次给予相关现场管理人员3000-5000元奖励。</w:t>
      </w:r>
    </w:p>
    <w:p>
      <w:pPr>
        <w:spacing w:line="276" w:lineRule="auto"/>
        <w:ind w:firstLine="420" w:firstLineChars="200"/>
        <w:rPr>
          <w:rFonts w:ascii="宋体" w:hAnsi="宋体"/>
        </w:rPr>
      </w:pPr>
      <w:r>
        <w:rPr>
          <w:rFonts w:hint="eastAsia" w:ascii="宋体" w:hAnsi="宋体"/>
        </w:rPr>
        <w:t>9.2.3  施工单位处罚细则</w:t>
      </w:r>
      <w:bookmarkEnd w:id="355"/>
      <w:bookmarkEnd w:id="356"/>
      <w:bookmarkEnd w:id="357"/>
      <w:bookmarkEnd w:id="358"/>
    </w:p>
    <w:p>
      <w:pPr>
        <w:spacing w:line="276" w:lineRule="auto"/>
        <w:ind w:firstLine="420" w:firstLineChars="200"/>
        <w:rPr>
          <w:rFonts w:ascii="宋体" w:hAnsi="宋体"/>
        </w:rPr>
      </w:pPr>
      <w:bookmarkStart w:id="359" w:name="_Toc14806"/>
      <w:bookmarkStart w:id="360" w:name="_Toc235"/>
      <w:bookmarkStart w:id="361" w:name="_Toc14788"/>
      <w:bookmarkStart w:id="362" w:name="_Toc12192"/>
      <w:r>
        <w:rPr>
          <w:rFonts w:hint="eastAsia" w:ascii="宋体" w:hAnsi="宋体"/>
        </w:rPr>
        <w:t>9.2.3.1  施工准备及总平</w:t>
      </w:r>
      <w:bookmarkEnd w:id="359"/>
      <w:bookmarkEnd w:id="360"/>
      <w:bookmarkEnd w:id="361"/>
      <w:bookmarkEnd w:id="362"/>
      <w:r>
        <w:rPr>
          <w:rFonts w:hint="eastAsia" w:ascii="宋体" w:hAnsi="宋体"/>
        </w:rPr>
        <w:t>面布置</w:t>
      </w:r>
    </w:p>
    <w:p>
      <w:pPr>
        <w:spacing w:line="276" w:lineRule="auto"/>
        <w:ind w:firstLine="420" w:firstLineChars="200"/>
        <w:rPr>
          <w:rFonts w:ascii="宋体" w:hAnsi="宋体"/>
        </w:rPr>
      </w:pPr>
      <w:r>
        <w:rPr>
          <w:rFonts w:hint="eastAsia" w:ascii="宋体" w:hAnsi="宋体"/>
        </w:rPr>
        <w:t>施工现场的库房、机械设备、材料、成品、半成品、模板、脚手架、加工场地、办公室、厕所等布置，须严格按照监理批准的现场总平面图中位置布置，不按照规定的位置布置，不按监理限定的期限进行整改，以每处为单位，每处罚款￥</w:t>
      </w:r>
      <w:r>
        <w:rPr>
          <w:rFonts w:ascii="宋体" w:hAnsi="宋体"/>
        </w:rPr>
        <w:t>200</w:t>
      </w:r>
      <w:r>
        <w:rPr>
          <w:rFonts w:hint="eastAsia" w:ascii="宋体" w:hAnsi="宋体"/>
        </w:rPr>
        <w:t>0～￥</w:t>
      </w:r>
      <w:r>
        <w:rPr>
          <w:rFonts w:ascii="宋体" w:hAnsi="宋体"/>
        </w:rPr>
        <w:t>1,000</w:t>
      </w:r>
      <w:r>
        <w:rPr>
          <w:rFonts w:hint="eastAsia" w:ascii="宋体" w:hAnsi="宋体"/>
        </w:rPr>
        <w:t>0元，并按监理通知限定的期限，每拖延一天整改，罚款￥1</w:t>
      </w:r>
      <w:r>
        <w:rPr>
          <w:rFonts w:ascii="宋体" w:hAnsi="宋体"/>
        </w:rPr>
        <w:t>00</w:t>
      </w:r>
      <w:r>
        <w:rPr>
          <w:rFonts w:hint="eastAsia" w:ascii="宋体" w:hAnsi="宋体"/>
        </w:rPr>
        <w:t>0元，罚款总额累加。</w:t>
      </w:r>
    </w:p>
    <w:p>
      <w:pPr>
        <w:spacing w:line="276" w:lineRule="auto"/>
        <w:ind w:firstLine="420" w:firstLineChars="200"/>
        <w:rPr>
          <w:rFonts w:ascii="宋体" w:hAnsi="宋体"/>
        </w:rPr>
      </w:pPr>
      <w:r>
        <w:rPr>
          <w:rFonts w:hint="eastAsia" w:ascii="宋体" w:hAnsi="宋体"/>
        </w:rPr>
        <w:t>9.2.3.1.1  建筑垃圾不按照现场总平面布置位置堆放，不按时外运或垃圾堆放场已满，不及时外运，每发现一次，罚款￥10</w:t>
      </w:r>
      <w:r>
        <w:rPr>
          <w:rFonts w:ascii="宋体" w:hAnsi="宋体"/>
        </w:rPr>
        <w:t>00</w:t>
      </w:r>
      <w:r>
        <w:rPr>
          <w:rFonts w:hint="eastAsia" w:ascii="宋体" w:hAnsi="宋体"/>
        </w:rPr>
        <w:t>～￥3</w:t>
      </w:r>
      <w:r>
        <w:rPr>
          <w:rFonts w:ascii="宋体" w:hAnsi="宋体"/>
        </w:rPr>
        <w:t>,000</w:t>
      </w:r>
      <w:r>
        <w:rPr>
          <w:rFonts w:hint="eastAsia" w:ascii="宋体" w:hAnsi="宋体"/>
        </w:rPr>
        <w:t>元，并按监理通知限定的期限每拖延一天整改，罚款￥1</w:t>
      </w:r>
      <w:r>
        <w:rPr>
          <w:rFonts w:ascii="宋体" w:hAnsi="宋体"/>
        </w:rPr>
        <w:t>00</w:t>
      </w:r>
      <w:r>
        <w:rPr>
          <w:rFonts w:hint="eastAsia" w:ascii="宋体" w:hAnsi="宋体"/>
        </w:rPr>
        <w:t>0元，罚款总额累加。</w:t>
      </w:r>
    </w:p>
    <w:p>
      <w:pPr>
        <w:spacing w:line="276" w:lineRule="auto"/>
        <w:ind w:firstLine="420" w:firstLineChars="200"/>
        <w:rPr>
          <w:rFonts w:ascii="宋体" w:hAnsi="宋体"/>
        </w:rPr>
      </w:pPr>
      <w:r>
        <w:rPr>
          <w:rFonts w:hint="eastAsia" w:ascii="宋体" w:hAnsi="宋体"/>
        </w:rPr>
        <w:t>9.2.3.1.2  废旧材料不按照现场总平面图布置位置堆放，不按时外运或废旧材料堆放场已满，不及时外运，每发现一次，罚款￥5</w:t>
      </w:r>
      <w:r>
        <w:rPr>
          <w:rFonts w:ascii="宋体" w:hAnsi="宋体"/>
        </w:rPr>
        <w:t>00</w:t>
      </w:r>
      <w:r>
        <w:rPr>
          <w:rFonts w:hint="eastAsia" w:ascii="宋体" w:hAnsi="宋体"/>
        </w:rPr>
        <w:t>～￥2</w:t>
      </w:r>
      <w:r>
        <w:rPr>
          <w:rFonts w:ascii="宋体" w:hAnsi="宋体"/>
        </w:rPr>
        <w:t>,000</w:t>
      </w:r>
      <w:r>
        <w:rPr>
          <w:rFonts w:hint="eastAsia" w:ascii="宋体" w:hAnsi="宋体"/>
        </w:rPr>
        <w:t>元，并按监理通知限定的期限每拖延一天整改，罚款￥</w:t>
      </w:r>
      <w:r>
        <w:rPr>
          <w:rFonts w:ascii="宋体" w:hAnsi="宋体"/>
        </w:rPr>
        <w:t>200</w:t>
      </w:r>
      <w:r>
        <w:rPr>
          <w:rFonts w:hint="eastAsia" w:ascii="宋体" w:hAnsi="宋体"/>
        </w:rPr>
        <w:t>元，罚款总额累加。</w:t>
      </w:r>
    </w:p>
    <w:p>
      <w:pPr>
        <w:spacing w:line="276" w:lineRule="auto"/>
        <w:ind w:firstLine="420" w:firstLineChars="200"/>
        <w:rPr>
          <w:rFonts w:ascii="宋体" w:hAnsi="宋体"/>
        </w:rPr>
      </w:pPr>
      <w:bookmarkStart w:id="363" w:name="_Toc30511"/>
      <w:bookmarkStart w:id="364" w:name="_Toc31779"/>
      <w:bookmarkStart w:id="365" w:name="_Toc29933"/>
      <w:bookmarkStart w:id="366" w:name="_Toc32717"/>
      <w:r>
        <w:rPr>
          <w:rFonts w:hint="eastAsia" w:ascii="宋体" w:hAnsi="宋体"/>
        </w:rPr>
        <w:t>9.2.3.2 进场材料、设备管理</w:t>
      </w:r>
      <w:bookmarkEnd w:id="363"/>
      <w:bookmarkEnd w:id="364"/>
      <w:bookmarkEnd w:id="365"/>
      <w:bookmarkEnd w:id="366"/>
    </w:p>
    <w:p>
      <w:pPr>
        <w:spacing w:line="276" w:lineRule="auto"/>
        <w:ind w:firstLine="420" w:firstLineChars="200"/>
        <w:rPr>
          <w:rFonts w:ascii="宋体" w:hAnsi="宋体"/>
        </w:rPr>
      </w:pPr>
      <w:r>
        <w:rPr>
          <w:rFonts w:hint="eastAsia" w:ascii="宋体" w:hAnsi="宋体"/>
        </w:rPr>
        <w:t>按要求必须送样的物资，未按要求送样的，每次罚款￥1</w:t>
      </w:r>
      <w:r>
        <w:rPr>
          <w:rFonts w:ascii="宋体" w:hAnsi="宋体"/>
        </w:rPr>
        <w:t>00</w:t>
      </w:r>
      <w:r>
        <w:rPr>
          <w:rFonts w:hint="eastAsia" w:ascii="宋体" w:hAnsi="宋体"/>
        </w:rPr>
        <w:t>0～￥3</w:t>
      </w:r>
      <w:r>
        <w:rPr>
          <w:rFonts w:ascii="宋体" w:hAnsi="宋体"/>
        </w:rPr>
        <w:t>,000</w:t>
      </w:r>
      <w:r>
        <w:rPr>
          <w:rFonts w:hint="eastAsia" w:ascii="宋体" w:hAnsi="宋体"/>
        </w:rPr>
        <w:t>元。所有材料、设备进场前须向监理提交计划，并报相关质保资料证明，材料进场提前</w:t>
      </w:r>
      <w:r>
        <w:rPr>
          <w:rFonts w:ascii="宋体" w:hAnsi="宋体"/>
        </w:rPr>
        <w:t>2</w:t>
      </w:r>
      <w:r>
        <w:rPr>
          <w:rFonts w:hint="eastAsia" w:ascii="宋体" w:hAnsi="宋体"/>
        </w:rPr>
        <w:t>小时通知监理，进场不及时通知监理检验、不及时送检（进场</w:t>
      </w:r>
      <w:r>
        <w:rPr>
          <w:rFonts w:ascii="宋体" w:hAnsi="宋体"/>
        </w:rPr>
        <w:t>3</w:t>
      </w:r>
      <w:r>
        <w:rPr>
          <w:rFonts w:hint="eastAsia" w:ascii="宋体" w:hAnsi="宋体"/>
        </w:rPr>
        <w:t>天内）或由此影响正常施工使用的，除按合同承担相应的责任外罚款￥10</w:t>
      </w:r>
      <w:r>
        <w:rPr>
          <w:rFonts w:ascii="宋体" w:hAnsi="宋体"/>
        </w:rPr>
        <w:t>00</w:t>
      </w:r>
      <w:r>
        <w:rPr>
          <w:rFonts w:hint="eastAsia" w:ascii="宋体" w:hAnsi="宋体"/>
        </w:rPr>
        <w:t>～￥3</w:t>
      </w:r>
      <w:r>
        <w:rPr>
          <w:rFonts w:ascii="宋体" w:hAnsi="宋体"/>
        </w:rPr>
        <w:t>,000</w:t>
      </w:r>
      <w:r>
        <w:rPr>
          <w:rFonts w:hint="eastAsia" w:ascii="宋体" w:hAnsi="宋体"/>
        </w:rPr>
        <w:t>元。</w:t>
      </w:r>
    </w:p>
    <w:p>
      <w:pPr>
        <w:spacing w:line="276" w:lineRule="auto"/>
        <w:ind w:firstLine="420" w:firstLineChars="200"/>
        <w:rPr>
          <w:rFonts w:ascii="宋体" w:hAnsi="宋体"/>
        </w:rPr>
      </w:pPr>
      <w:r>
        <w:rPr>
          <w:rFonts w:hint="eastAsia" w:ascii="宋体" w:hAnsi="宋体"/>
        </w:rPr>
        <w:t>9.2.3.2.1  物资经检验不合格的，不及时退场（要求时间内）、退场时未通知监理见证的，以每拖延一天罚款￥10</w:t>
      </w:r>
      <w:r>
        <w:rPr>
          <w:rFonts w:ascii="宋体" w:hAnsi="宋体"/>
        </w:rPr>
        <w:t>00</w:t>
      </w:r>
      <w:r>
        <w:rPr>
          <w:rFonts w:hint="eastAsia" w:ascii="宋体" w:hAnsi="宋体"/>
        </w:rPr>
        <w:t>～￥3</w:t>
      </w:r>
      <w:r>
        <w:rPr>
          <w:rFonts w:ascii="宋体" w:hAnsi="宋体"/>
        </w:rPr>
        <w:t>,000</w:t>
      </w:r>
      <w:r>
        <w:rPr>
          <w:rFonts w:hint="eastAsia" w:ascii="宋体" w:hAnsi="宋体"/>
        </w:rPr>
        <w:t>元。对于物资进场不予以严格把关的、物资来源不明、资料与实物不符的，假冒伪劣产品的，对于明知不合格或未经检验的物资使用的，按该批物资价值的双倍罚款。送检的试验报告，最迟在检测部门发出的第二天</w:t>
      </w:r>
      <w:r>
        <w:rPr>
          <w:rFonts w:ascii="宋体" w:hAnsi="宋体"/>
        </w:rPr>
        <w:t>17</w:t>
      </w:r>
      <w:r>
        <w:rPr>
          <w:rFonts w:hint="eastAsia" w:ascii="宋体" w:hAnsi="宋体"/>
        </w:rPr>
        <w:t>：</w:t>
      </w:r>
      <w:r>
        <w:rPr>
          <w:rFonts w:ascii="宋体" w:hAnsi="宋体"/>
        </w:rPr>
        <w:t>00</w:t>
      </w:r>
      <w:r>
        <w:rPr>
          <w:rFonts w:hint="eastAsia" w:ascii="宋体" w:hAnsi="宋体"/>
        </w:rPr>
        <w:t>前报监理，每拖延一天罚款￥5</w:t>
      </w:r>
      <w:r>
        <w:rPr>
          <w:rFonts w:ascii="宋体" w:hAnsi="宋体"/>
        </w:rPr>
        <w:t>00</w:t>
      </w:r>
      <w:r>
        <w:rPr>
          <w:rFonts w:hint="eastAsia" w:ascii="宋体" w:hAnsi="宋体"/>
        </w:rPr>
        <w:t>元</w:t>
      </w:r>
    </w:p>
    <w:p>
      <w:pPr>
        <w:spacing w:line="276" w:lineRule="auto"/>
        <w:ind w:firstLine="420" w:firstLineChars="200"/>
        <w:rPr>
          <w:rFonts w:ascii="宋体" w:hAnsi="宋体"/>
        </w:rPr>
      </w:pPr>
      <w:r>
        <w:rPr>
          <w:rFonts w:hint="eastAsia" w:ascii="宋体" w:hAnsi="宋体"/>
        </w:rPr>
        <w:t>9.2.3.2.2  物资三证不全、未经送检或报审验收就擅自使用的，每次罚款￥</w:t>
      </w:r>
      <w:r>
        <w:rPr>
          <w:rFonts w:ascii="宋体" w:hAnsi="宋体"/>
        </w:rPr>
        <w:t>1,000</w:t>
      </w:r>
      <w:r>
        <w:rPr>
          <w:rFonts w:hint="eastAsia" w:ascii="宋体" w:hAnsi="宋体"/>
        </w:rPr>
        <w:t>～￥</w:t>
      </w:r>
      <w:r>
        <w:rPr>
          <w:rFonts w:ascii="宋体" w:hAnsi="宋体"/>
        </w:rPr>
        <w:t>3,000</w:t>
      </w:r>
      <w:r>
        <w:rPr>
          <w:rFonts w:hint="eastAsia" w:ascii="宋体" w:hAnsi="宋体"/>
        </w:rPr>
        <w:t>元，并无条件拆除，每拖延一天整改罚款￥</w:t>
      </w:r>
      <w:r>
        <w:rPr>
          <w:rFonts w:ascii="宋体" w:hAnsi="宋体"/>
        </w:rPr>
        <w:t>500</w:t>
      </w:r>
      <w:r>
        <w:rPr>
          <w:rFonts w:hint="eastAsia" w:ascii="宋体" w:hAnsi="宋体"/>
        </w:rPr>
        <w:t>元，罚款总额累计计算。</w:t>
      </w:r>
    </w:p>
    <w:p>
      <w:pPr>
        <w:spacing w:line="276" w:lineRule="auto"/>
        <w:ind w:firstLine="420" w:firstLineChars="200"/>
        <w:rPr>
          <w:rFonts w:ascii="宋体" w:hAnsi="宋体"/>
        </w:rPr>
      </w:pPr>
      <w:bookmarkStart w:id="367" w:name="_Toc24697"/>
      <w:bookmarkStart w:id="368" w:name="_Toc12943"/>
      <w:bookmarkStart w:id="369" w:name="_Toc1043"/>
      <w:bookmarkStart w:id="370" w:name="_Toc2943"/>
      <w:r>
        <w:rPr>
          <w:rFonts w:hint="eastAsia" w:ascii="宋体" w:hAnsi="宋体"/>
        </w:rPr>
        <w:t>9.2.3.3  现场安全文明施工</w:t>
      </w:r>
      <w:bookmarkEnd w:id="367"/>
      <w:bookmarkEnd w:id="368"/>
      <w:bookmarkEnd w:id="369"/>
      <w:bookmarkEnd w:id="370"/>
    </w:p>
    <w:p>
      <w:pPr>
        <w:spacing w:line="276" w:lineRule="auto"/>
        <w:ind w:firstLine="420" w:firstLineChars="200"/>
        <w:rPr>
          <w:rFonts w:ascii="宋体" w:hAnsi="宋体"/>
        </w:rPr>
      </w:pPr>
      <w:r>
        <w:rPr>
          <w:rFonts w:hint="eastAsia" w:ascii="宋体" w:hAnsi="宋体"/>
        </w:rPr>
        <w:t>9.2.3.3.1  现场内的污水排放，包括施工现场地表面、厕所卫生间、沉淀池（化粪池）等，不及时清理排放，每发现一次，罚款￥</w:t>
      </w:r>
      <w:r>
        <w:rPr>
          <w:rFonts w:ascii="宋体" w:hAnsi="宋体"/>
        </w:rPr>
        <w:t>100</w:t>
      </w:r>
      <w:r>
        <w:rPr>
          <w:rFonts w:hint="eastAsia" w:ascii="宋体" w:hAnsi="宋体"/>
        </w:rPr>
        <w:t>0～￥</w:t>
      </w:r>
      <w:r>
        <w:rPr>
          <w:rFonts w:ascii="宋体" w:hAnsi="宋体"/>
        </w:rPr>
        <w:t>500</w:t>
      </w:r>
      <w:r>
        <w:rPr>
          <w:rFonts w:hint="eastAsia" w:ascii="宋体" w:hAnsi="宋体"/>
        </w:rPr>
        <w:t>0元，并按监理通知限定的期限每拖延一天整改，罚款￥</w:t>
      </w:r>
      <w:r>
        <w:rPr>
          <w:rFonts w:ascii="宋体" w:hAnsi="宋体"/>
        </w:rPr>
        <w:t>100</w:t>
      </w:r>
      <w:r>
        <w:rPr>
          <w:rFonts w:hint="eastAsia" w:ascii="宋体" w:hAnsi="宋体"/>
        </w:rPr>
        <w:t>0元，罚款总额累加。</w:t>
      </w:r>
    </w:p>
    <w:p>
      <w:pPr>
        <w:spacing w:line="276" w:lineRule="auto"/>
        <w:ind w:firstLine="420" w:firstLineChars="200"/>
        <w:rPr>
          <w:rFonts w:ascii="宋体" w:hAnsi="宋体"/>
        </w:rPr>
      </w:pPr>
      <w:r>
        <w:rPr>
          <w:rFonts w:hint="eastAsia" w:ascii="宋体" w:hAnsi="宋体"/>
        </w:rPr>
        <w:t>9.2.3.3.2  按照有关规定，现场临时用电配电箱不符合要求，如：无工作零线端子、无保护接地端子、非三相五线制、非一机一闸一漏电、开关无盖、配电箱无箱门，无防雨措施等，以每一项或每一条为单位，罚款￥</w:t>
      </w:r>
      <w:r>
        <w:rPr>
          <w:rFonts w:ascii="宋体" w:hAnsi="宋体"/>
        </w:rPr>
        <w:t>100</w:t>
      </w:r>
      <w:r>
        <w:rPr>
          <w:rFonts w:hint="eastAsia" w:ascii="宋体" w:hAnsi="宋体"/>
        </w:rPr>
        <w:t>0～￥</w:t>
      </w:r>
      <w:r>
        <w:rPr>
          <w:rFonts w:ascii="宋体" w:hAnsi="宋体"/>
        </w:rPr>
        <w:t>500</w:t>
      </w:r>
      <w:r>
        <w:rPr>
          <w:rFonts w:hint="eastAsia" w:ascii="宋体" w:hAnsi="宋体"/>
        </w:rPr>
        <w:t>0元，按监理通知限定的期限每拖延一天整改，每一项或每一条，罚款￥</w:t>
      </w:r>
      <w:r>
        <w:rPr>
          <w:rFonts w:ascii="宋体" w:hAnsi="宋体"/>
        </w:rPr>
        <w:t>100</w:t>
      </w:r>
      <w:r>
        <w:rPr>
          <w:rFonts w:hint="eastAsia" w:ascii="宋体" w:hAnsi="宋体"/>
        </w:rPr>
        <w:t>0元，罚款总额累加。</w:t>
      </w:r>
    </w:p>
    <w:p>
      <w:pPr>
        <w:spacing w:line="276" w:lineRule="auto"/>
        <w:ind w:firstLine="420" w:firstLineChars="200"/>
        <w:rPr>
          <w:rFonts w:ascii="宋体" w:hAnsi="宋体"/>
        </w:rPr>
      </w:pPr>
      <w:r>
        <w:rPr>
          <w:rFonts w:hint="eastAsia" w:ascii="宋体" w:hAnsi="宋体"/>
        </w:rPr>
        <w:t>9.2.3.3.3  施工现场周围及楼内的建筑垃圾不及时清运，以每层或每</w:t>
      </w:r>
      <w:r>
        <w:rPr>
          <w:rFonts w:ascii="宋体" w:hAnsi="宋体"/>
        </w:rPr>
        <w:t>10</w:t>
      </w:r>
      <w:r>
        <w:rPr>
          <w:rFonts w:hint="eastAsia" w:ascii="宋体" w:hAnsi="宋体"/>
        </w:rPr>
        <w:t>平方米为单位，每发现一处，罚款￥</w:t>
      </w:r>
      <w:r>
        <w:rPr>
          <w:rFonts w:ascii="宋体" w:hAnsi="宋体"/>
        </w:rPr>
        <w:t>100</w:t>
      </w:r>
      <w:r>
        <w:rPr>
          <w:rFonts w:hint="eastAsia" w:ascii="宋体" w:hAnsi="宋体"/>
        </w:rPr>
        <w:t>0～￥3</w:t>
      </w:r>
      <w:r>
        <w:rPr>
          <w:rFonts w:ascii="宋体" w:hAnsi="宋体"/>
        </w:rPr>
        <w:t>00</w:t>
      </w:r>
      <w:r>
        <w:rPr>
          <w:rFonts w:hint="eastAsia" w:ascii="宋体" w:hAnsi="宋体"/>
        </w:rPr>
        <w:t>0元，并按监理通知限定的期限每拖延一天整改，罚款￥</w:t>
      </w:r>
      <w:r>
        <w:rPr>
          <w:rFonts w:ascii="宋体" w:hAnsi="宋体"/>
        </w:rPr>
        <w:t>100</w:t>
      </w:r>
      <w:r>
        <w:rPr>
          <w:rFonts w:hint="eastAsia" w:ascii="宋体" w:hAnsi="宋体"/>
        </w:rPr>
        <w:t>0元，罚款总额累加。</w:t>
      </w:r>
    </w:p>
    <w:p>
      <w:pPr>
        <w:spacing w:line="276" w:lineRule="auto"/>
        <w:ind w:firstLine="420" w:firstLineChars="200"/>
        <w:rPr>
          <w:rFonts w:ascii="宋体" w:hAnsi="宋体"/>
        </w:rPr>
      </w:pPr>
      <w:r>
        <w:rPr>
          <w:rFonts w:hint="eastAsia" w:ascii="宋体" w:hAnsi="宋体"/>
        </w:rPr>
        <w:t>9.2.3.3.4  施工现场的临时施工用电方案须经监理人、发包人批准后方可施工。现场内的临时施工线路敷设，必须使用合格的电力电缆埋地敷设，架空或挂墙须按规范敷设，接入设备或配电箱的电线电缆要规整，否则按照电缆数或不规整处，罚款￥</w:t>
      </w:r>
      <w:r>
        <w:rPr>
          <w:rFonts w:ascii="宋体" w:hAnsi="宋体"/>
        </w:rPr>
        <w:t>100</w:t>
      </w:r>
      <w:r>
        <w:rPr>
          <w:rFonts w:hint="eastAsia" w:ascii="宋体" w:hAnsi="宋体"/>
        </w:rPr>
        <w:t>0～￥2000元，并按监理通知限定的期限每拖延一天整改每根或每处，罚款￥5</w:t>
      </w:r>
      <w:r>
        <w:rPr>
          <w:rFonts w:ascii="宋体" w:hAnsi="宋体"/>
        </w:rPr>
        <w:t>00</w:t>
      </w:r>
      <w:r>
        <w:rPr>
          <w:rFonts w:hint="eastAsia" w:ascii="宋体" w:hAnsi="宋体"/>
        </w:rPr>
        <w:t>元，罚款总额累加。</w:t>
      </w:r>
    </w:p>
    <w:p>
      <w:pPr>
        <w:spacing w:line="276" w:lineRule="auto"/>
        <w:ind w:firstLine="420" w:firstLineChars="200"/>
        <w:rPr>
          <w:rFonts w:ascii="宋体" w:hAnsi="宋体"/>
        </w:rPr>
      </w:pPr>
      <w:r>
        <w:rPr>
          <w:rFonts w:hint="eastAsia" w:ascii="宋体" w:hAnsi="宋体"/>
        </w:rPr>
        <w:t>9.2.3.3.5  在施工现场穿拖鞋或凉鞋的工人，每人次罚款￥</w:t>
      </w:r>
      <w:r>
        <w:rPr>
          <w:rFonts w:ascii="宋体" w:hAnsi="宋体"/>
        </w:rPr>
        <w:t>10</w:t>
      </w:r>
      <w:r>
        <w:rPr>
          <w:rFonts w:hint="eastAsia" w:ascii="宋体" w:hAnsi="宋体"/>
        </w:rPr>
        <w:t>0元，管理人员每人次罚款￥</w:t>
      </w:r>
      <w:r>
        <w:rPr>
          <w:rFonts w:ascii="宋体" w:hAnsi="宋体"/>
        </w:rPr>
        <w:t>50</w:t>
      </w:r>
      <w:r>
        <w:rPr>
          <w:rFonts w:hint="eastAsia" w:ascii="宋体" w:hAnsi="宋体"/>
        </w:rPr>
        <w:t>0元，罚款总额累加。</w:t>
      </w:r>
    </w:p>
    <w:p>
      <w:pPr>
        <w:spacing w:line="276" w:lineRule="auto"/>
        <w:ind w:firstLine="420" w:firstLineChars="200"/>
        <w:rPr>
          <w:rFonts w:ascii="宋体" w:hAnsi="宋体"/>
        </w:rPr>
      </w:pPr>
      <w:r>
        <w:rPr>
          <w:rFonts w:hint="eastAsia" w:ascii="宋体" w:hAnsi="宋体"/>
        </w:rPr>
        <w:t>9.2.3.3.6  进入施工现场不戴安全帽者，每人次罚款￥</w:t>
      </w:r>
      <w:r>
        <w:rPr>
          <w:rFonts w:ascii="宋体" w:hAnsi="宋体"/>
        </w:rPr>
        <w:t>1</w:t>
      </w:r>
      <w:r>
        <w:rPr>
          <w:rFonts w:hint="eastAsia" w:ascii="宋体" w:hAnsi="宋体"/>
        </w:rPr>
        <w:t>0</w:t>
      </w:r>
      <w:r>
        <w:rPr>
          <w:rFonts w:ascii="宋体" w:hAnsi="宋体"/>
        </w:rPr>
        <w:t>0</w:t>
      </w:r>
      <w:r>
        <w:rPr>
          <w:rFonts w:hint="eastAsia" w:ascii="宋体" w:hAnsi="宋体"/>
        </w:rPr>
        <w:t>元，管理人员每人次罚款￥</w:t>
      </w:r>
      <w:r>
        <w:rPr>
          <w:rFonts w:ascii="宋体" w:hAnsi="宋体"/>
        </w:rPr>
        <w:t>50</w:t>
      </w:r>
      <w:r>
        <w:rPr>
          <w:rFonts w:hint="eastAsia" w:ascii="宋体" w:hAnsi="宋体"/>
        </w:rPr>
        <w:t>0元，罚款总额累加。</w:t>
      </w:r>
    </w:p>
    <w:p>
      <w:pPr>
        <w:spacing w:line="276" w:lineRule="auto"/>
        <w:ind w:firstLine="420" w:firstLineChars="200"/>
        <w:rPr>
          <w:rFonts w:ascii="宋体" w:hAnsi="宋体"/>
        </w:rPr>
      </w:pPr>
      <w:r>
        <w:rPr>
          <w:rFonts w:hint="eastAsia" w:ascii="宋体" w:hAnsi="宋体"/>
        </w:rPr>
        <w:t>9.2.3.3.7  “四口”“五临边”防护不合格，以每一项或每一处为单位，罚款￥</w:t>
      </w:r>
      <w:r>
        <w:rPr>
          <w:rFonts w:ascii="宋体" w:hAnsi="宋体"/>
        </w:rPr>
        <w:t>100</w:t>
      </w:r>
      <w:r>
        <w:rPr>
          <w:rFonts w:hint="eastAsia" w:ascii="宋体" w:hAnsi="宋体"/>
        </w:rPr>
        <w:t>0～￥</w:t>
      </w:r>
      <w:r>
        <w:rPr>
          <w:rFonts w:ascii="宋体" w:hAnsi="宋体"/>
        </w:rPr>
        <w:t>500</w:t>
      </w:r>
      <w:r>
        <w:rPr>
          <w:rFonts w:hint="eastAsia" w:ascii="宋体" w:hAnsi="宋体"/>
        </w:rPr>
        <w:t>0元，按监理通知限定的期限每拖延一天整改，罚款￥</w:t>
      </w:r>
      <w:r>
        <w:rPr>
          <w:rFonts w:ascii="宋体" w:hAnsi="宋体"/>
        </w:rPr>
        <w:t>10</w:t>
      </w:r>
      <w:r>
        <w:rPr>
          <w:rFonts w:hint="eastAsia" w:ascii="宋体" w:hAnsi="宋体"/>
        </w:rPr>
        <w:t>0</w:t>
      </w:r>
      <w:r>
        <w:rPr>
          <w:rFonts w:ascii="宋体" w:hAnsi="宋体"/>
        </w:rPr>
        <w:t>0</w:t>
      </w:r>
      <w:r>
        <w:rPr>
          <w:rFonts w:hint="eastAsia" w:ascii="宋体" w:hAnsi="宋体"/>
        </w:rPr>
        <w:t>元，罚款总额累加。造成高空坠物的以每次罚款￥2</w:t>
      </w:r>
      <w:r>
        <w:rPr>
          <w:rFonts w:ascii="宋体" w:hAnsi="宋体"/>
        </w:rPr>
        <w:t>,000</w:t>
      </w:r>
      <w:r>
        <w:rPr>
          <w:rFonts w:hint="eastAsia" w:ascii="宋体" w:hAnsi="宋体"/>
        </w:rPr>
        <w:t>～￥</w:t>
      </w:r>
      <w:r>
        <w:rPr>
          <w:rFonts w:ascii="宋体" w:hAnsi="宋体"/>
        </w:rPr>
        <w:t>3,000</w:t>
      </w:r>
      <w:r>
        <w:rPr>
          <w:rFonts w:hint="eastAsia" w:ascii="宋体" w:hAnsi="宋体"/>
        </w:rPr>
        <w:t>元。</w:t>
      </w:r>
    </w:p>
    <w:p>
      <w:pPr>
        <w:spacing w:line="276" w:lineRule="auto"/>
        <w:ind w:firstLine="420" w:firstLineChars="200"/>
        <w:rPr>
          <w:rFonts w:ascii="宋体" w:hAnsi="宋体"/>
        </w:rPr>
      </w:pPr>
      <w:r>
        <w:rPr>
          <w:rFonts w:hint="eastAsia" w:ascii="宋体" w:hAnsi="宋体"/>
        </w:rPr>
        <w:t>9.2.3.3.8  安全通道不合格、无安全通道指示标志、无封道指示标志、安全通道无照明、照明设施无人及时维护者，以每一项或每一条为单位，罚款￥</w:t>
      </w:r>
      <w:r>
        <w:rPr>
          <w:rFonts w:ascii="宋体" w:hAnsi="宋体"/>
        </w:rPr>
        <w:t>100</w:t>
      </w:r>
      <w:r>
        <w:rPr>
          <w:rFonts w:hint="eastAsia" w:ascii="宋体" w:hAnsi="宋体"/>
        </w:rPr>
        <w:t>～￥</w:t>
      </w:r>
      <w:r>
        <w:rPr>
          <w:rFonts w:ascii="宋体" w:hAnsi="宋体"/>
        </w:rPr>
        <w:t>500</w:t>
      </w:r>
      <w:r>
        <w:rPr>
          <w:rFonts w:hint="eastAsia" w:ascii="宋体" w:hAnsi="宋体"/>
        </w:rPr>
        <w:t>元，按监理通知限定的期限每拖一天整改，罚款￥</w:t>
      </w:r>
      <w:r>
        <w:rPr>
          <w:rFonts w:ascii="宋体" w:hAnsi="宋体"/>
        </w:rPr>
        <w:t>100</w:t>
      </w:r>
      <w:r>
        <w:rPr>
          <w:rFonts w:hint="eastAsia" w:ascii="宋体" w:hAnsi="宋体"/>
        </w:rPr>
        <w:t>元，罚款总额累加。</w:t>
      </w:r>
    </w:p>
    <w:p>
      <w:pPr>
        <w:spacing w:line="276" w:lineRule="auto"/>
        <w:ind w:firstLine="420" w:firstLineChars="200"/>
        <w:rPr>
          <w:rFonts w:ascii="宋体" w:hAnsi="宋体"/>
        </w:rPr>
      </w:pPr>
      <w:r>
        <w:rPr>
          <w:rFonts w:hint="eastAsia" w:ascii="宋体" w:hAnsi="宋体"/>
        </w:rPr>
        <w:t>9.2.3.3.9  施工现场应在规定的位置设置灭火器，未在规定的位置上设置灭火器、灭火器数量不足、灭火器没有标注检查日期，以每一项或每一处为单位，罚款￥</w:t>
      </w:r>
      <w:r>
        <w:rPr>
          <w:rFonts w:ascii="宋体" w:hAnsi="宋体"/>
        </w:rPr>
        <w:t>100</w:t>
      </w:r>
      <w:r>
        <w:rPr>
          <w:rFonts w:hint="eastAsia" w:ascii="宋体" w:hAnsi="宋体"/>
        </w:rPr>
        <w:t>～￥</w:t>
      </w:r>
      <w:r>
        <w:rPr>
          <w:rFonts w:ascii="宋体" w:hAnsi="宋体"/>
        </w:rPr>
        <w:t>500</w:t>
      </w:r>
      <w:r>
        <w:rPr>
          <w:rFonts w:hint="eastAsia" w:ascii="宋体" w:hAnsi="宋体"/>
        </w:rPr>
        <w:t>元，按监理通知限定的期限，每拖延一天整改，罚款￥</w:t>
      </w:r>
      <w:r>
        <w:rPr>
          <w:rFonts w:ascii="宋体" w:hAnsi="宋体"/>
        </w:rPr>
        <w:t>100</w:t>
      </w:r>
      <w:r>
        <w:rPr>
          <w:rFonts w:hint="eastAsia" w:ascii="宋体" w:hAnsi="宋体"/>
        </w:rPr>
        <w:t>元，罚款总额累加。</w:t>
      </w:r>
    </w:p>
    <w:p>
      <w:pPr>
        <w:spacing w:line="276" w:lineRule="auto"/>
        <w:ind w:firstLine="420" w:firstLineChars="200"/>
        <w:rPr>
          <w:rFonts w:ascii="宋体" w:hAnsi="宋体"/>
        </w:rPr>
      </w:pPr>
      <w:r>
        <w:rPr>
          <w:rFonts w:hint="eastAsia" w:ascii="宋体" w:hAnsi="宋体"/>
        </w:rPr>
        <w:t>9.2.3.3.10  施工现场应设置吸烟区，未在吸烟区抽烟及在楼层内随地大小便，高空作业不系安全带，不按安全规范违章施工，以每人每次为单位，罚款￥200元，每拖延一天整改，罚款￥200元，罚款总额累加。</w:t>
      </w:r>
    </w:p>
    <w:p>
      <w:pPr>
        <w:spacing w:line="276" w:lineRule="auto"/>
        <w:ind w:firstLine="420" w:firstLineChars="200"/>
        <w:rPr>
          <w:rFonts w:ascii="宋体" w:hAnsi="宋体"/>
        </w:rPr>
      </w:pPr>
      <w:r>
        <w:rPr>
          <w:rFonts w:hint="eastAsia" w:ascii="宋体" w:hAnsi="宋体"/>
        </w:rPr>
        <w:t>9.2.3.3.11  脚手架未按批准的方案进行搭设的，施工通道不畅通的，不按监理通知限定期限整改，罚款￥10</w:t>
      </w:r>
      <w:r>
        <w:rPr>
          <w:rFonts w:ascii="宋体" w:hAnsi="宋体"/>
        </w:rPr>
        <w:t>00</w:t>
      </w:r>
      <w:r>
        <w:rPr>
          <w:rFonts w:hint="eastAsia" w:ascii="宋体" w:hAnsi="宋体"/>
        </w:rPr>
        <w:t>～￥5</w:t>
      </w:r>
      <w:r>
        <w:rPr>
          <w:rFonts w:ascii="宋体" w:hAnsi="宋体"/>
        </w:rPr>
        <w:t>000</w:t>
      </w:r>
      <w:r>
        <w:rPr>
          <w:rFonts w:hint="eastAsia" w:ascii="宋体" w:hAnsi="宋体"/>
        </w:rPr>
        <w:t>元。每拖延一天整改，罚款￥</w:t>
      </w:r>
      <w:r>
        <w:rPr>
          <w:rFonts w:ascii="宋体" w:hAnsi="宋体"/>
        </w:rPr>
        <w:t>200</w:t>
      </w:r>
      <w:r>
        <w:rPr>
          <w:rFonts w:hint="eastAsia" w:ascii="宋体" w:hAnsi="宋体"/>
        </w:rPr>
        <w:t>0元，罚款总额累加。</w:t>
      </w:r>
    </w:p>
    <w:p>
      <w:pPr>
        <w:spacing w:line="276" w:lineRule="auto"/>
        <w:ind w:firstLine="420" w:firstLineChars="200"/>
        <w:rPr>
          <w:rFonts w:ascii="宋体" w:hAnsi="宋体"/>
        </w:rPr>
      </w:pPr>
      <w:r>
        <w:rPr>
          <w:rFonts w:hint="eastAsia" w:ascii="宋体" w:hAnsi="宋体"/>
        </w:rPr>
        <w:t>9.2.3.3.12  现场施工机械设备无防护罩（如：电锯、电焊机等），以每一台为单位，罚款￥</w:t>
      </w:r>
      <w:r>
        <w:rPr>
          <w:rFonts w:ascii="宋体" w:hAnsi="宋体"/>
        </w:rPr>
        <w:t>50</w:t>
      </w:r>
      <w:r>
        <w:rPr>
          <w:rFonts w:hint="eastAsia" w:ascii="宋体" w:hAnsi="宋体"/>
        </w:rPr>
        <w:t>0～￥</w:t>
      </w:r>
      <w:r>
        <w:rPr>
          <w:rFonts w:ascii="宋体" w:hAnsi="宋体"/>
        </w:rPr>
        <w:t>200</w:t>
      </w:r>
      <w:r>
        <w:rPr>
          <w:rFonts w:hint="eastAsia" w:ascii="宋体" w:hAnsi="宋体"/>
        </w:rPr>
        <w:t>0元，按监理通知限定的期限每拖延一天整改，每一台罚款￥</w:t>
      </w:r>
      <w:r>
        <w:rPr>
          <w:rFonts w:ascii="宋体" w:hAnsi="宋体"/>
        </w:rPr>
        <w:t>50</w:t>
      </w:r>
      <w:r>
        <w:rPr>
          <w:rFonts w:hint="eastAsia" w:ascii="宋体" w:hAnsi="宋体"/>
        </w:rPr>
        <w:t>0元，罚款总额累加。</w:t>
      </w:r>
    </w:p>
    <w:p>
      <w:pPr>
        <w:spacing w:line="276" w:lineRule="auto"/>
        <w:ind w:firstLine="420" w:firstLineChars="200"/>
        <w:rPr>
          <w:rFonts w:ascii="宋体" w:hAnsi="宋体"/>
        </w:rPr>
      </w:pPr>
      <w:r>
        <w:rPr>
          <w:rFonts w:hint="eastAsia" w:ascii="宋体" w:hAnsi="宋体"/>
        </w:rPr>
        <w:t>9.2.3.3.13  因为承包人原因造成的劳资纠纷，其后果为：工期延误、质量缺陷、安全隐患、媒体曝光、政府主管部门处罚、工人向政府或发包人申诉、围攻办公区域、销售中心等对发包人形象造成不良影响等情况，承包人必须立即无条件的采取补救措施，并承担相应费用，承包人向发包人支付违约金 20万元/每天。如上述影响导致区/市建委出面调解承包人向发包人支付违约金100万元-200万元。如24小时内解决不了的，需要承包人项目指挥长到场解决。如发包人认为承包人不能及时有效地解决事端、或不能立即消除负面影响，发包人有权直接介入，所有相关费用由承包人承担，另增加50%违约金，以上费用均从承包人工程款中扣除，并无需得到承包人同意。若仍不够抵扣的，发包人有权要求承包人赔偿。</w:t>
      </w:r>
    </w:p>
    <w:p>
      <w:pPr>
        <w:spacing w:line="276" w:lineRule="auto"/>
        <w:ind w:firstLine="420" w:firstLineChars="200"/>
        <w:rPr>
          <w:rFonts w:ascii="宋体" w:hAnsi="宋体"/>
        </w:rPr>
      </w:pPr>
      <w:r>
        <w:rPr>
          <w:rFonts w:hint="eastAsia" w:ascii="宋体" w:hAnsi="宋体"/>
        </w:rPr>
        <w:t>9.2.3.3.14 火灾：每发现一处火灾隐患罚款￥10</w:t>
      </w:r>
      <w:r>
        <w:rPr>
          <w:rFonts w:ascii="宋体" w:hAnsi="宋体"/>
        </w:rPr>
        <w:t>00</w:t>
      </w:r>
      <w:r>
        <w:rPr>
          <w:rFonts w:hint="eastAsia" w:ascii="宋体" w:hAnsi="宋体"/>
        </w:rPr>
        <w:t>元。一般火灾事故每次罚款￥</w:t>
      </w:r>
      <w:r>
        <w:rPr>
          <w:rFonts w:ascii="宋体" w:hAnsi="宋体"/>
        </w:rPr>
        <w:t>500</w:t>
      </w:r>
      <w:r>
        <w:rPr>
          <w:rFonts w:hint="eastAsia" w:ascii="宋体" w:hAnsi="宋体"/>
        </w:rPr>
        <w:t>0元。较大火灾事故每次罚款￥20</w:t>
      </w:r>
      <w:r>
        <w:rPr>
          <w:rFonts w:ascii="宋体" w:hAnsi="宋体"/>
        </w:rPr>
        <w:t>000</w:t>
      </w:r>
      <w:r>
        <w:rPr>
          <w:rFonts w:hint="eastAsia" w:ascii="宋体" w:hAnsi="宋体"/>
        </w:rPr>
        <w:t>元。重大火灾事故每次罚款￥1</w:t>
      </w:r>
      <w:r>
        <w:rPr>
          <w:rFonts w:ascii="宋体" w:hAnsi="宋体"/>
        </w:rPr>
        <w:t>0</w:t>
      </w:r>
      <w:r>
        <w:rPr>
          <w:rFonts w:hint="eastAsia" w:ascii="宋体" w:hAnsi="宋体"/>
        </w:rPr>
        <w:t>0，</w:t>
      </w:r>
      <w:r>
        <w:rPr>
          <w:rFonts w:ascii="宋体" w:hAnsi="宋体"/>
        </w:rPr>
        <w:t>000</w:t>
      </w:r>
      <w:r>
        <w:rPr>
          <w:rFonts w:hint="eastAsia" w:ascii="宋体" w:hAnsi="宋体"/>
        </w:rPr>
        <w:t>元，并根据国家安全生产法律法规追究事故单位及相关责任人的责任。</w:t>
      </w:r>
    </w:p>
    <w:p>
      <w:pPr>
        <w:spacing w:line="276" w:lineRule="auto"/>
        <w:ind w:firstLine="420" w:firstLineChars="200"/>
        <w:rPr>
          <w:rFonts w:ascii="宋体" w:hAnsi="宋体"/>
        </w:rPr>
      </w:pPr>
      <w:bookmarkStart w:id="371" w:name="_Toc2699"/>
      <w:bookmarkStart w:id="372" w:name="_Toc31509"/>
      <w:bookmarkStart w:id="373" w:name="_Toc12828"/>
      <w:bookmarkStart w:id="374" w:name="_Toc1207"/>
      <w:r>
        <w:rPr>
          <w:rFonts w:hint="eastAsia" w:ascii="宋体" w:hAnsi="宋体"/>
        </w:rPr>
        <w:t>9.2.3.</w:t>
      </w:r>
      <w:r>
        <w:rPr>
          <w:rFonts w:ascii="宋体" w:hAnsi="宋体"/>
        </w:rPr>
        <w:t>4</w:t>
      </w:r>
      <w:r>
        <w:rPr>
          <w:rFonts w:hint="eastAsia" w:ascii="宋体" w:hAnsi="宋体"/>
        </w:rPr>
        <w:t xml:space="preserve">  隐蔽工程验收及质量问题</w:t>
      </w:r>
      <w:bookmarkEnd w:id="371"/>
      <w:bookmarkEnd w:id="372"/>
      <w:bookmarkEnd w:id="373"/>
      <w:bookmarkEnd w:id="374"/>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.1  承包人在施工过程中不按要求加强自检，达不到规范要求，经整改仍达不到要求，情节严重的，每次罚款￥</w:t>
      </w:r>
      <w:r>
        <w:rPr>
          <w:rFonts w:ascii="宋体" w:hAnsi="宋体"/>
        </w:rPr>
        <w:t>500</w:t>
      </w:r>
      <w:r>
        <w:rPr>
          <w:rFonts w:hint="eastAsia" w:ascii="宋体" w:hAnsi="宋体"/>
        </w:rPr>
        <w:t>～￥</w:t>
      </w:r>
      <w:r>
        <w:rPr>
          <w:rFonts w:ascii="宋体" w:hAnsi="宋体"/>
        </w:rPr>
        <w:t>2,000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.2  施工中未按设计要求施工，经检查属于偷工减料的每次罚款￥</w:t>
      </w:r>
      <w:r>
        <w:rPr>
          <w:rFonts w:ascii="宋体" w:hAnsi="宋体"/>
        </w:rPr>
        <w:t>500</w:t>
      </w:r>
      <w:r>
        <w:rPr>
          <w:rFonts w:hint="eastAsia" w:ascii="宋体" w:hAnsi="宋体"/>
        </w:rPr>
        <w:t>～￥</w:t>
      </w:r>
      <w:r>
        <w:rPr>
          <w:rFonts w:ascii="宋体" w:hAnsi="宋体"/>
        </w:rPr>
        <w:t>5,000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  存在较大的质量问题，或质量事故，视问题大小和事故的严重程度给予处罚：</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.3.1  土方回填不分层夯实，罚款￥</w:t>
      </w:r>
      <w:r>
        <w:rPr>
          <w:rFonts w:ascii="宋体" w:hAnsi="宋体"/>
        </w:rPr>
        <w:t>300</w:t>
      </w:r>
      <w:r>
        <w:rPr>
          <w:rFonts w:hint="eastAsia" w:ascii="宋体" w:hAnsi="宋体"/>
        </w:rPr>
        <w:t>～￥</w:t>
      </w:r>
      <w:r>
        <w:rPr>
          <w:rFonts w:ascii="宋体" w:hAnsi="宋体"/>
        </w:rPr>
        <w:t>2,000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.3.2  砼施工出现严重缺陷，观感太差的，罚款￥</w:t>
      </w:r>
      <w:r>
        <w:rPr>
          <w:rFonts w:ascii="宋体" w:hAnsi="宋体"/>
        </w:rPr>
        <w:t>500～</w:t>
      </w:r>
      <w:r>
        <w:rPr>
          <w:rFonts w:hint="eastAsia" w:ascii="宋体" w:hAnsi="宋体"/>
        </w:rPr>
        <w:t>￥</w:t>
      </w:r>
      <w:r>
        <w:rPr>
          <w:rFonts w:ascii="宋体" w:hAnsi="宋体"/>
        </w:rPr>
        <w:t>2,000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.3.3  钢筋工程不符要求罚款￥</w:t>
      </w:r>
      <w:r>
        <w:rPr>
          <w:rFonts w:ascii="宋体" w:hAnsi="宋体"/>
        </w:rPr>
        <w:t>300</w:t>
      </w:r>
      <w:r>
        <w:rPr>
          <w:rFonts w:hint="eastAsia" w:ascii="宋体" w:hAnsi="宋体"/>
        </w:rPr>
        <w:t>～￥</w:t>
      </w:r>
      <w:r>
        <w:rPr>
          <w:rFonts w:ascii="宋体" w:hAnsi="宋体"/>
        </w:rPr>
        <w:t>2,000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.3.4  楼、地面裂缝罚款￥</w:t>
      </w:r>
      <w:r>
        <w:rPr>
          <w:rFonts w:ascii="宋体" w:hAnsi="宋体"/>
        </w:rPr>
        <w:t>500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.3.5  墙面开裂、漏水，￥</w:t>
      </w:r>
      <w:r>
        <w:rPr>
          <w:rFonts w:ascii="宋体" w:hAnsi="宋体"/>
        </w:rPr>
        <w:t>300</w:t>
      </w:r>
      <w:r>
        <w:rPr>
          <w:rFonts w:hint="eastAsia" w:ascii="宋体" w:hAnsi="宋体"/>
        </w:rPr>
        <w:t>～￥</w:t>
      </w:r>
      <w:r>
        <w:rPr>
          <w:rFonts w:ascii="宋体" w:hAnsi="宋体"/>
        </w:rPr>
        <w:t>1,000</w:t>
      </w:r>
      <w:r>
        <w:rPr>
          <w:rFonts w:hint="eastAsia" w:ascii="宋体" w:hAnsi="宋体"/>
        </w:rPr>
        <w:t>元</w:t>
      </w:r>
      <w:r>
        <w:rPr>
          <w:rFonts w:ascii="宋体" w:hAnsi="宋体"/>
        </w:rPr>
        <w:t>/</w:t>
      </w:r>
      <w:r>
        <w:rPr>
          <w:rFonts w:hint="eastAsia" w:ascii="宋体" w:hAnsi="宋体"/>
        </w:rPr>
        <w:t>处。</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.3.6  防水工程不符要求，罚款￥</w:t>
      </w:r>
      <w:r>
        <w:rPr>
          <w:rFonts w:ascii="宋体" w:hAnsi="宋体"/>
        </w:rPr>
        <w:t>300</w:t>
      </w:r>
      <w:r>
        <w:rPr>
          <w:rFonts w:hint="eastAsia" w:ascii="宋体" w:hAnsi="宋体"/>
        </w:rPr>
        <w:t>～￥</w:t>
      </w:r>
      <w:r>
        <w:rPr>
          <w:rFonts w:ascii="宋体" w:hAnsi="宋体"/>
        </w:rPr>
        <w:t>500</w:t>
      </w:r>
      <w:r>
        <w:rPr>
          <w:rFonts w:hint="eastAsia" w:ascii="宋体" w:hAnsi="宋体"/>
        </w:rPr>
        <w:t>元</w:t>
      </w:r>
      <w:r>
        <w:rPr>
          <w:rFonts w:ascii="宋体" w:hAnsi="宋体"/>
        </w:rPr>
        <w:t>/</w:t>
      </w:r>
      <w:r>
        <w:rPr>
          <w:rFonts w:hint="eastAsia" w:ascii="宋体" w:hAnsi="宋体"/>
        </w:rPr>
        <w:t>处。</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.3.7  轴线、层高不符合要求，罚款￥</w:t>
      </w:r>
      <w:r>
        <w:rPr>
          <w:rFonts w:ascii="宋体" w:hAnsi="宋体"/>
        </w:rPr>
        <w:t>1,000</w:t>
      </w:r>
      <w:r>
        <w:rPr>
          <w:rFonts w:hint="eastAsia" w:ascii="宋体" w:hAnsi="宋体"/>
        </w:rPr>
        <w:t>～￥</w:t>
      </w:r>
      <w:r>
        <w:rPr>
          <w:rFonts w:ascii="宋体" w:hAnsi="宋体"/>
        </w:rPr>
        <w:t>5,000</w:t>
      </w:r>
      <w:r>
        <w:rPr>
          <w:rFonts w:hint="eastAsia" w:ascii="宋体" w:hAnsi="宋体"/>
        </w:rPr>
        <w:t>元</w:t>
      </w:r>
      <w:r>
        <w:rPr>
          <w:rFonts w:ascii="宋体" w:hAnsi="宋体"/>
        </w:rPr>
        <w:t>/</w:t>
      </w:r>
      <w:r>
        <w:rPr>
          <w:rFonts w:hint="eastAsia" w:ascii="宋体" w:hAnsi="宋体"/>
        </w:rPr>
        <w:t>处。</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.3.8  门窗工程不按节点作法施工的罚款￥</w:t>
      </w:r>
      <w:r>
        <w:rPr>
          <w:rFonts w:ascii="宋体" w:hAnsi="宋体"/>
        </w:rPr>
        <w:t>300</w:t>
      </w:r>
      <w:r>
        <w:rPr>
          <w:rFonts w:hint="eastAsia" w:ascii="宋体" w:hAnsi="宋体"/>
        </w:rPr>
        <w:t>～￥</w:t>
      </w:r>
      <w:r>
        <w:rPr>
          <w:rFonts w:ascii="宋体" w:hAnsi="宋体"/>
        </w:rPr>
        <w:t>1,000/</w:t>
      </w:r>
      <w:r>
        <w:rPr>
          <w:rFonts w:hint="eastAsia" w:ascii="宋体" w:hAnsi="宋体"/>
        </w:rPr>
        <w:t>处。</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.3.9  不注意成品保护，损坏成品的罚款￥</w:t>
      </w:r>
      <w:r>
        <w:rPr>
          <w:rFonts w:ascii="宋体" w:hAnsi="宋体"/>
        </w:rPr>
        <w:t>300</w:t>
      </w:r>
      <w:r>
        <w:rPr>
          <w:rFonts w:hint="eastAsia" w:ascii="宋体" w:hAnsi="宋体"/>
        </w:rPr>
        <w:t>～￥</w:t>
      </w:r>
      <w:r>
        <w:rPr>
          <w:rFonts w:ascii="宋体" w:hAnsi="宋体"/>
        </w:rPr>
        <w:t>2,000/</w:t>
      </w:r>
      <w:r>
        <w:rPr>
          <w:rFonts w:hint="eastAsia" w:ascii="宋体" w:hAnsi="宋体"/>
        </w:rPr>
        <w:t>处。</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.3.10 蓄意遮盖、掩饰、覆盖、隐瞒质量问题的罚款￥</w:t>
      </w:r>
      <w:r>
        <w:rPr>
          <w:rFonts w:ascii="宋体" w:hAnsi="宋体"/>
        </w:rPr>
        <w:t>500</w:t>
      </w:r>
      <w:r>
        <w:rPr>
          <w:rFonts w:hint="eastAsia" w:ascii="宋体" w:hAnsi="宋体"/>
        </w:rPr>
        <w:t>～￥</w:t>
      </w:r>
      <w:r>
        <w:rPr>
          <w:rFonts w:ascii="宋体" w:hAnsi="宋体"/>
        </w:rPr>
        <w:t>3,000</w:t>
      </w:r>
      <w:r>
        <w:rPr>
          <w:rFonts w:hint="eastAsia" w:ascii="宋体" w:hAnsi="宋体"/>
        </w:rPr>
        <w:t>元</w:t>
      </w:r>
      <w:r>
        <w:rPr>
          <w:rFonts w:ascii="宋体" w:hAnsi="宋体"/>
        </w:rPr>
        <w:t>/</w:t>
      </w:r>
      <w:r>
        <w:rPr>
          <w:rFonts w:hint="eastAsia" w:ascii="宋体" w:hAnsi="宋体"/>
        </w:rPr>
        <w:t>次。</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.3.11 硬景施工色差过大、线条与图纸差别较大，齐缝、错缝感观教差、平面积水、整体感观较差的罚款￥</w:t>
      </w:r>
      <w:r>
        <w:rPr>
          <w:rFonts w:ascii="宋体" w:hAnsi="宋体"/>
        </w:rPr>
        <w:t>300</w:t>
      </w:r>
      <w:r>
        <w:rPr>
          <w:rFonts w:hint="eastAsia" w:ascii="宋体" w:hAnsi="宋体"/>
        </w:rPr>
        <w:t>～￥</w:t>
      </w:r>
      <w:r>
        <w:rPr>
          <w:rFonts w:ascii="宋体" w:hAnsi="宋体"/>
        </w:rPr>
        <w:t>2,000</w:t>
      </w:r>
      <w:r>
        <w:rPr>
          <w:rFonts w:hint="eastAsia" w:ascii="宋体" w:hAnsi="宋体"/>
        </w:rPr>
        <w:t>元</w:t>
      </w:r>
      <w:r>
        <w:rPr>
          <w:rFonts w:ascii="宋体" w:hAnsi="宋体"/>
        </w:rPr>
        <w:t>/</w:t>
      </w:r>
      <w:r>
        <w:rPr>
          <w:rFonts w:hint="eastAsia" w:ascii="宋体" w:hAnsi="宋体"/>
        </w:rPr>
        <w:t>处。</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.3.12  机电管道支吊架规格、间距不符合要求，每处罚款￥</w:t>
      </w:r>
      <w:r>
        <w:rPr>
          <w:rFonts w:ascii="宋体" w:hAnsi="宋体"/>
        </w:rPr>
        <w:t>300</w:t>
      </w:r>
      <w:r>
        <w:rPr>
          <w:rFonts w:hint="eastAsia" w:ascii="宋体" w:hAnsi="宋体"/>
        </w:rPr>
        <w:t>～￥</w:t>
      </w:r>
      <w:r>
        <w:rPr>
          <w:rFonts w:ascii="宋体" w:hAnsi="宋体"/>
        </w:rPr>
        <w:t>500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.3.13  机电管道坡度、横平竖直不符合规范要求，每处罚款￥</w:t>
      </w:r>
      <w:r>
        <w:rPr>
          <w:rFonts w:ascii="宋体" w:hAnsi="宋体"/>
        </w:rPr>
        <w:t>300</w:t>
      </w:r>
      <w:r>
        <w:rPr>
          <w:rFonts w:hint="eastAsia" w:ascii="宋体" w:hAnsi="宋体"/>
        </w:rPr>
        <w:t>～￥</w:t>
      </w:r>
      <w:r>
        <w:rPr>
          <w:rFonts w:ascii="宋体" w:hAnsi="宋体"/>
        </w:rPr>
        <w:t>500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.3.14  机电管道试压不合格，闭水试验不合格，管道、阀门、管件漏水等，每处罚款￥</w:t>
      </w:r>
      <w:r>
        <w:rPr>
          <w:rFonts w:ascii="宋体" w:hAnsi="宋体"/>
        </w:rPr>
        <w:t>300</w:t>
      </w:r>
      <w:r>
        <w:rPr>
          <w:rFonts w:hint="eastAsia" w:ascii="宋体" w:hAnsi="宋体"/>
        </w:rPr>
        <w:t>～￥</w:t>
      </w:r>
      <w:r>
        <w:rPr>
          <w:rFonts w:ascii="宋体" w:hAnsi="宋体"/>
        </w:rPr>
        <w:t>500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.3.15  机电管道保温观感差、保温不严密、所用保温材料不符合要求等，每处罚款￥</w:t>
      </w:r>
      <w:r>
        <w:rPr>
          <w:rFonts w:ascii="宋体" w:hAnsi="宋体"/>
        </w:rPr>
        <w:t>300</w:t>
      </w:r>
      <w:r>
        <w:rPr>
          <w:rFonts w:hint="eastAsia" w:ascii="宋体" w:hAnsi="宋体"/>
        </w:rPr>
        <w:t>～￥</w:t>
      </w:r>
      <w:r>
        <w:rPr>
          <w:rFonts w:ascii="宋体" w:hAnsi="宋体"/>
        </w:rPr>
        <w:t>500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.3.16  机电所用材料不符合要求、偷工减料、该送检未送检而用于工程的，每处罚款￥</w:t>
      </w:r>
      <w:r>
        <w:rPr>
          <w:rFonts w:ascii="宋体" w:hAnsi="宋体"/>
        </w:rPr>
        <w:t>300</w:t>
      </w:r>
      <w:r>
        <w:rPr>
          <w:rFonts w:hint="eastAsia" w:ascii="宋体" w:hAnsi="宋体"/>
        </w:rPr>
        <w:t>～￥</w:t>
      </w:r>
      <w:r>
        <w:rPr>
          <w:rFonts w:ascii="宋体" w:hAnsi="宋体"/>
        </w:rPr>
        <w:t>500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.3.17  机电设备、管道该设置减震而未设置、减震材料不合格而用于工程的，每处罚款￥</w:t>
      </w:r>
      <w:r>
        <w:rPr>
          <w:rFonts w:ascii="宋体" w:hAnsi="宋体"/>
        </w:rPr>
        <w:t>300</w:t>
      </w:r>
      <w:r>
        <w:rPr>
          <w:rFonts w:hint="eastAsia" w:ascii="宋体" w:hAnsi="宋体"/>
        </w:rPr>
        <w:t>～￥</w:t>
      </w:r>
      <w:r>
        <w:rPr>
          <w:rFonts w:ascii="宋体" w:hAnsi="宋体"/>
        </w:rPr>
        <w:t>500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.3.18  防雷接地、机电设备接地、门窗接地、以及管道接地等不符合要求、弄虚作假的，每处罚款￥</w:t>
      </w:r>
      <w:r>
        <w:rPr>
          <w:rFonts w:ascii="宋体" w:hAnsi="宋体"/>
        </w:rPr>
        <w:t>300</w:t>
      </w:r>
      <w:r>
        <w:rPr>
          <w:rFonts w:hint="eastAsia" w:ascii="宋体" w:hAnsi="宋体"/>
        </w:rPr>
        <w:t>～￥</w:t>
      </w:r>
      <w:r>
        <w:rPr>
          <w:rFonts w:ascii="宋体" w:hAnsi="宋体"/>
        </w:rPr>
        <w:t>500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.3.19 在混凝土结构墙板上的预留洞、预埋管线位置必须核实准确，在浇筑混凝土时必须派人跟踪检查，以免管线被破坏时及时修复，否则每次罚款￥</w:t>
      </w:r>
      <w:r>
        <w:rPr>
          <w:rFonts w:ascii="宋体" w:hAnsi="宋体"/>
        </w:rPr>
        <w:t>300</w:t>
      </w:r>
      <w:r>
        <w:rPr>
          <w:rFonts w:hint="eastAsia" w:ascii="宋体" w:hAnsi="宋体"/>
        </w:rPr>
        <w:t>0～￥</w:t>
      </w:r>
      <w:r>
        <w:rPr>
          <w:rFonts w:ascii="宋体" w:hAnsi="宋体"/>
        </w:rPr>
        <w:t>500</w:t>
      </w:r>
      <w:r>
        <w:rPr>
          <w:rFonts w:hint="eastAsia" w:ascii="宋体" w:hAnsi="宋体"/>
        </w:rPr>
        <w:t>0元。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.3.20  未经允许严禁在混凝土墙板上凿洞、开槽，尤其是严禁在混凝土墙上横向开槽，否则每处罚款￥</w:t>
      </w:r>
      <w:r>
        <w:rPr>
          <w:rFonts w:ascii="宋体" w:hAnsi="宋体"/>
        </w:rPr>
        <w:t>300</w:t>
      </w:r>
      <w:r>
        <w:rPr>
          <w:rFonts w:hint="eastAsia" w:ascii="宋体" w:hAnsi="宋体"/>
        </w:rPr>
        <w:t>～￥</w:t>
      </w:r>
      <w:r>
        <w:rPr>
          <w:rFonts w:ascii="宋体" w:hAnsi="宋体"/>
        </w:rPr>
        <w:t>500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.3.21  在后砌筑的砖墙上开槽必须使用专用工具切槽，严禁乱打凿，每处罚款￥1</w:t>
      </w:r>
      <w:r>
        <w:rPr>
          <w:rFonts w:ascii="宋体" w:hAnsi="宋体"/>
        </w:rPr>
        <w:t>00</w:t>
      </w:r>
      <w:r>
        <w:rPr>
          <w:rFonts w:hint="eastAsia" w:ascii="宋体" w:hAnsi="宋体"/>
        </w:rPr>
        <w:t>0～￥3</w:t>
      </w:r>
      <w:r>
        <w:rPr>
          <w:rFonts w:ascii="宋体" w:hAnsi="宋体"/>
        </w:rPr>
        <w:t>00</w:t>
      </w:r>
      <w:r>
        <w:rPr>
          <w:rFonts w:hint="eastAsia" w:ascii="宋体" w:hAnsi="宋体"/>
        </w:rPr>
        <w:t>0元。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.3.22  其它：机电施工未能详尽列出的质量问题的处罚，参照以上条款执行。</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.4  蓄意影响阻饶发包人、监理正常检查验收工作，不按监理通知单期限整改，每次罚款￥</w:t>
      </w:r>
      <w:r>
        <w:rPr>
          <w:rFonts w:ascii="宋体" w:hAnsi="宋体"/>
        </w:rPr>
        <w:t>500</w:t>
      </w:r>
      <w:r>
        <w:rPr>
          <w:rFonts w:hint="eastAsia" w:ascii="宋体" w:hAnsi="宋体"/>
        </w:rPr>
        <w:t>～￥</w:t>
      </w:r>
      <w:r>
        <w:rPr>
          <w:rFonts w:ascii="宋体" w:hAnsi="宋体"/>
        </w:rPr>
        <w:t>2,000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.5  未经监理检查就擅自隐蔽或进行下道工序的，每次罚款￥10</w:t>
      </w:r>
      <w:r>
        <w:rPr>
          <w:rFonts w:ascii="宋体" w:hAnsi="宋体"/>
        </w:rPr>
        <w:t>00</w:t>
      </w:r>
      <w:r>
        <w:rPr>
          <w:rFonts w:hint="eastAsia" w:ascii="宋体" w:hAnsi="宋体"/>
        </w:rPr>
        <w:t>～￥2</w:t>
      </w:r>
      <w:r>
        <w:rPr>
          <w:rFonts w:ascii="宋体" w:hAnsi="宋体"/>
        </w:rPr>
        <w:t>,000</w:t>
      </w:r>
      <w:r>
        <w:rPr>
          <w:rFonts w:hint="eastAsia" w:ascii="宋体" w:hAnsi="宋体"/>
        </w:rPr>
        <w:t>元，并在限期内无条件返工，每拖延一天整改罚款￥3</w:t>
      </w:r>
      <w:r>
        <w:rPr>
          <w:rFonts w:ascii="宋体" w:hAnsi="宋体"/>
        </w:rPr>
        <w:t>00</w:t>
      </w:r>
      <w:r>
        <w:rPr>
          <w:rFonts w:hint="eastAsia" w:ascii="宋体" w:hAnsi="宋体"/>
        </w:rPr>
        <w:t>0元，罚款总额累计计算。</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.6  各工序“三检”制度不健全、三检人员配备不完善，或虽有三检制度和三检人员，但不尽职尽责、玩忽职守，该检查未检查，罚款￥</w:t>
      </w:r>
      <w:r>
        <w:rPr>
          <w:rFonts w:ascii="宋体" w:hAnsi="宋体"/>
        </w:rPr>
        <w:t>500</w:t>
      </w:r>
      <w:r>
        <w:rPr>
          <w:rFonts w:hint="eastAsia" w:ascii="宋体" w:hAnsi="宋体"/>
        </w:rPr>
        <w:t>元，并须在限期内健全和完善，每拖延一天整改罚款￥</w:t>
      </w:r>
      <w:r>
        <w:rPr>
          <w:rFonts w:ascii="宋体" w:hAnsi="宋体"/>
        </w:rPr>
        <w:t>100</w:t>
      </w:r>
      <w:r>
        <w:rPr>
          <w:rFonts w:hint="eastAsia" w:ascii="宋体" w:hAnsi="宋体"/>
        </w:rPr>
        <w:t>0元，罚款总额累计计算。</w:t>
      </w:r>
    </w:p>
    <w:p>
      <w:pPr>
        <w:spacing w:line="276" w:lineRule="auto"/>
        <w:ind w:firstLine="420" w:firstLineChars="200"/>
        <w:rPr>
          <w:rFonts w:ascii="宋体" w:hAnsi="宋体"/>
        </w:rPr>
      </w:pPr>
      <w:r>
        <w:rPr>
          <w:rFonts w:hint="eastAsia" w:ascii="宋体" w:hAnsi="宋体"/>
        </w:rPr>
        <w:t>9.2.3.</w:t>
      </w:r>
      <w:r>
        <w:rPr>
          <w:rFonts w:ascii="宋体" w:hAnsi="宋体"/>
        </w:rPr>
        <w:t>4</w:t>
      </w:r>
      <w:r>
        <w:rPr>
          <w:rFonts w:hint="eastAsia" w:ascii="宋体" w:hAnsi="宋体"/>
        </w:rPr>
        <w:t>.7  隐蔽工程验收程序：未经监理验收确认的，责令改正并罚款￥10</w:t>
      </w:r>
      <w:r>
        <w:rPr>
          <w:rFonts w:ascii="宋体" w:hAnsi="宋体"/>
        </w:rPr>
        <w:t>00</w:t>
      </w:r>
      <w:r>
        <w:rPr>
          <w:rFonts w:hint="eastAsia" w:ascii="宋体" w:hAnsi="宋体"/>
        </w:rPr>
        <w:t>～￥3</w:t>
      </w:r>
      <w:r>
        <w:rPr>
          <w:rFonts w:ascii="宋体" w:hAnsi="宋体"/>
        </w:rPr>
        <w:t>,000</w:t>
      </w:r>
      <w:r>
        <w:rPr>
          <w:rFonts w:hint="eastAsia" w:ascii="宋体" w:hAnsi="宋体"/>
        </w:rPr>
        <w:t>元。</w:t>
      </w:r>
    </w:p>
    <w:p>
      <w:pPr>
        <w:spacing w:line="276" w:lineRule="auto"/>
        <w:ind w:firstLine="420" w:firstLineChars="200"/>
        <w:rPr>
          <w:rFonts w:ascii="宋体" w:hAnsi="宋体"/>
        </w:rPr>
      </w:pPr>
      <w:bookmarkStart w:id="375" w:name="_Toc29932"/>
      <w:bookmarkStart w:id="376" w:name="_Toc86"/>
      <w:bookmarkStart w:id="377" w:name="_Toc31708"/>
      <w:bookmarkStart w:id="378" w:name="_Toc24857"/>
      <w:r>
        <w:rPr>
          <w:rFonts w:hint="eastAsia" w:ascii="宋体" w:hAnsi="宋体"/>
        </w:rPr>
        <w:t>9.2.3.</w:t>
      </w:r>
      <w:r>
        <w:rPr>
          <w:rFonts w:ascii="宋体" w:hAnsi="宋体"/>
        </w:rPr>
        <w:t>5</w:t>
      </w:r>
      <w:r>
        <w:rPr>
          <w:rFonts w:hint="eastAsia" w:ascii="宋体" w:hAnsi="宋体"/>
        </w:rPr>
        <w:t xml:space="preserve">  会议管理及施工配合</w:t>
      </w:r>
      <w:bookmarkEnd w:id="375"/>
      <w:bookmarkEnd w:id="376"/>
      <w:bookmarkEnd w:id="377"/>
      <w:bookmarkEnd w:id="378"/>
    </w:p>
    <w:p>
      <w:pPr>
        <w:spacing w:line="276" w:lineRule="auto"/>
        <w:ind w:firstLine="420" w:firstLineChars="200"/>
        <w:rPr>
          <w:rFonts w:ascii="宋体" w:hAnsi="宋体"/>
        </w:rPr>
      </w:pPr>
      <w:r>
        <w:rPr>
          <w:rFonts w:hint="eastAsia" w:ascii="宋体" w:hAnsi="宋体"/>
        </w:rPr>
        <w:t>9.2.3.</w:t>
      </w:r>
      <w:r>
        <w:rPr>
          <w:rFonts w:ascii="宋体" w:hAnsi="宋体"/>
        </w:rPr>
        <w:t>5</w:t>
      </w:r>
      <w:r>
        <w:rPr>
          <w:rFonts w:hint="eastAsia" w:ascii="宋体" w:hAnsi="宋体"/>
        </w:rPr>
        <w:t>.1  周例会、专题会等，未提前向发包人和监理请假，每迟到或早退一次罚款￥5</w:t>
      </w:r>
      <w:r>
        <w:rPr>
          <w:rFonts w:ascii="宋体" w:hAnsi="宋体"/>
        </w:rPr>
        <w:t>00</w:t>
      </w:r>
      <w:r>
        <w:rPr>
          <w:rFonts w:hint="eastAsia" w:ascii="宋体" w:hAnsi="宋体"/>
        </w:rPr>
        <w:t>元人民币，每缺席一次罚款￥10</w:t>
      </w:r>
      <w:r>
        <w:rPr>
          <w:rFonts w:ascii="宋体" w:hAnsi="宋体"/>
        </w:rPr>
        <w:t>00</w:t>
      </w:r>
      <w:r>
        <w:rPr>
          <w:rFonts w:hint="eastAsia" w:ascii="宋体" w:hAnsi="宋体"/>
        </w:rPr>
        <w:t>元人民币。如拖延不交者，罚款将从工程款中加倍扣除。</w:t>
      </w:r>
    </w:p>
    <w:p>
      <w:pPr>
        <w:spacing w:line="276" w:lineRule="auto"/>
        <w:ind w:firstLine="420" w:firstLineChars="200"/>
        <w:rPr>
          <w:rFonts w:ascii="宋体" w:hAnsi="宋体"/>
        </w:rPr>
      </w:pPr>
      <w:r>
        <w:rPr>
          <w:rFonts w:hint="eastAsia" w:ascii="宋体" w:hAnsi="宋体"/>
        </w:rPr>
        <w:t>9.2.3.</w:t>
      </w:r>
      <w:r>
        <w:rPr>
          <w:rFonts w:ascii="宋体" w:hAnsi="宋体"/>
        </w:rPr>
        <w:t>5</w:t>
      </w:r>
      <w:r>
        <w:rPr>
          <w:rFonts w:hint="eastAsia" w:ascii="宋体" w:hAnsi="宋体"/>
        </w:rPr>
        <w:t>.2  承包人管理人员不能有效组织现场施工，不能与发包人或监理很好配合，开展现场的管理工作，或对于工人的无理取闹行为不能采取有效措施加以制止，每次罚款￥10</w:t>
      </w:r>
      <w:r>
        <w:rPr>
          <w:rFonts w:ascii="宋体" w:hAnsi="宋体"/>
        </w:rPr>
        <w:t>00</w:t>
      </w:r>
      <w:r>
        <w:rPr>
          <w:rFonts w:hint="eastAsia" w:ascii="宋体" w:hAnsi="宋体"/>
        </w:rPr>
        <w:t>～￥5</w:t>
      </w:r>
      <w:r>
        <w:rPr>
          <w:rFonts w:ascii="宋体" w:hAnsi="宋体"/>
        </w:rPr>
        <w:t>,000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5</w:t>
      </w:r>
      <w:r>
        <w:rPr>
          <w:rFonts w:hint="eastAsia" w:ascii="宋体" w:hAnsi="宋体"/>
        </w:rPr>
        <w:t>.3  限期整改的项目，或周例会、发包人、监理通知要求完成的工作，承包人无正当理由未按时完成，被监理确认，以每一项为单位，罚款￥</w:t>
      </w:r>
      <w:r>
        <w:rPr>
          <w:rFonts w:ascii="宋体" w:hAnsi="宋体"/>
        </w:rPr>
        <w:t>100</w:t>
      </w:r>
      <w:r>
        <w:rPr>
          <w:rFonts w:hint="eastAsia" w:ascii="宋体" w:hAnsi="宋体"/>
        </w:rPr>
        <w:t>0～￥5</w:t>
      </w:r>
      <w:r>
        <w:rPr>
          <w:rFonts w:ascii="宋体" w:hAnsi="宋体"/>
        </w:rPr>
        <w:t>,000</w:t>
      </w:r>
      <w:r>
        <w:rPr>
          <w:rFonts w:hint="eastAsia" w:ascii="宋体" w:hAnsi="宋体"/>
        </w:rPr>
        <w:t>元，每拖延一天整改，罚款￥</w:t>
      </w:r>
      <w:r>
        <w:rPr>
          <w:rFonts w:ascii="宋体" w:hAnsi="宋体"/>
        </w:rPr>
        <w:t>100</w:t>
      </w:r>
      <w:r>
        <w:rPr>
          <w:rFonts w:hint="eastAsia" w:ascii="宋体" w:hAnsi="宋体"/>
        </w:rPr>
        <w:t>0元，罚款总额累计计算。</w:t>
      </w:r>
    </w:p>
    <w:p>
      <w:pPr>
        <w:spacing w:line="276" w:lineRule="auto"/>
        <w:ind w:firstLine="420" w:firstLineChars="200"/>
        <w:rPr>
          <w:rFonts w:ascii="宋体" w:hAnsi="宋体"/>
        </w:rPr>
      </w:pPr>
      <w:r>
        <w:rPr>
          <w:rFonts w:hint="eastAsia" w:ascii="宋体" w:hAnsi="宋体"/>
        </w:rPr>
        <w:t>9.2.3.</w:t>
      </w:r>
      <w:r>
        <w:rPr>
          <w:rFonts w:ascii="宋体" w:hAnsi="宋体"/>
        </w:rPr>
        <w:t>5</w:t>
      </w:r>
      <w:r>
        <w:rPr>
          <w:rFonts w:hint="eastAsia" w:ascii="宋体" w:hAnsi="宋体"/>
        </w:rPr>
        <w:t>.4  监理下发暂停施工指令期间，强行野蛮施工的，每次罚款￥</w:t>
      </w:r>
      <w:r>
        <w:rPr>
          <w:rFonts w:ascii="宋体" w:hAnsi="宋体"/>
        </w:rPr>
        <w:t>2,000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5</w:t>
      </w:r>
      <w:r>
        <w:rPr>
          <w:rFonts w:hint="eastAsia" w:ascii="宋体" w:hAnsi="宋体"/>
        </w:rPr>
        <w:t>.5  发包人、监理下达的书面或口头通知，不能及时、较好的配合的罚款￥</w:t>
      </w:r>
      <w:r>
        <w:rPr>
          <w:rFonts w:ascii="宋体" w:hAnsi="宋体"/>
        </w:rPr>
        <w:t>300</w:t>
      </w:r>
      <w:r>
        <w:rPr>
          <w:rFonts w:hint="eastAsia" w:ascii="宋体" w:hAnsi="宋体"/>
        </w:rPr>
        <w:t>～￥</w:t>
      </w:r>
      <w:r>
        <w:rPr>
          <w:rFonts w:ascii="宋体" w:hAnsi="宋体"/>
        </w:rPr>
        <w:t>1,000</w:t>
      </w:r>
      <w:r>
        <w:rPr>
          <w:rFonts w:hint="eastAsia" w:ascii="宋体" w:hAnsi="宋体"/>
        </w:rPr>
        <w:t>元。</w:t>
      </w:r>
    </w:p>
    <w:p>
      <w:pPr>
        <w:spacing w:line="276" w:lineRule="auto"/>
        <w:ind w:firstLine="420" w:firstLineChars="200"/>
        <w:rPr>
          <w:rFonts w:ascii="宋体" w:hAnsi="宋体"/>
        </w:rPr>
      </w:pPr>
      <w:r>
        <w:rPr>
          <w:rFonts w:hint="eastAsia" w:ascii="宋体" w:hAnsi="宋体"/>
        </w:rPr>
        <w:t>9.2.3.</w:t>
      </w:r>
      <w:r>
        <w:rPr>
          <w:rFonts w:ascii="宋体" w:hAnsi="宋体"/>
        </w:rPr>
        <w:t>6</w:t>
      </w:r>
      <w:r>
        <w:rPr>
          <w:rFonts w:hint="eastAsia" w:ascii="宋体" w:hAnsi="宋体"/>
        </w:rPr>
        <w:t xml:space="preserve">  对</w:t>
      </w:r>
      <w:r>
        <w:rPr>
          <w:rFonts w:hint="eastAsia" w:ascii="宋体" w:hAnsi="宋体"/>
          <w:kern w:val="0"/>
        </w:rPr>
        <w:t>本制度</w:t>
      </w:r>
      <w:r>
        <w:rPr>
          <w:rFonts w:hint="eastAsia" w:ascii="宋体" w:hAnsi="宋体"/>
        </w:rPr>
        <w:t>未述及的违规行为的处罚标准，由监理和发包人共同商定，承包人不得有任何异议。</w:t>
      </w:r>
    </w:p>
    <w:p>
      <w:pPr>
        <w:pStyle w:val="3"/>
        <w:spacing w:before="0" w:after="0" w:line="276" w:lineRule="auto"/>
        <w:ind w:firstLine="413" w:firstLineChars="196"/>
        <w:rPr>
          <w:rFonts w:ascii="宋体" w:hAnsi="宋体"/>
          <w:sz w:val="21"/>
          <w:szCs w:val="21"/>
        </w:rPr>
      </w:pPr>
      <w:bookmarkStart w:id="379" w:name="_Toc405195237"/>
      <w:bookmarkStart w:id="380" w:name="_Toc19782"/>
      <w:bookmarkStart w:id="381" w:name="_Toc404565151"/>
      <w:bookmarkStart w:id="382" w:name="_Toc144459650"/>
      <w:bookmarkStart w:id="383" w:name="_Toc405535589"/>
      <w:r>
        <w:rPr>
          <w:rFonts w:hint="eastAsia" w:ascii="宋体" w:hAnsi="宋体"/>
          <w:sz w:val="21"/>
          <w:szCs w:val="21"/>
        </w:rPr>
        <w:t xml:space="preserve">9.3 </w:t>
      </w:r>
      <w:r>
        <w:rPr>
          <w:rFonts w:ascii="宋体" w:hAnsi="宋体"/>
          <w:sz w:val="21"/>
          <w:szCs w:val="21"/>
        </w:rPr>
        <w:t xml:space="preserve"> </w:t>
      </w:r>
      <w:r>
        <w:rPr>
          <w:rFonts w:hint="eastAsia" w:ascii="宋体" w:hAnsi="宋体"/>
          <w:sz w:val="21"/>
          <w:szCs w:val="21"/>
        </w:rPr>
        <w:t>项目施工管理综合考评</w:t>
      </w:r>
      <w:bookmarkEnd w:id="379"/>
      <w:bookmarkEnd w:id="380"/>
      <w:bookmarkEnd w:id="381"/>
      <w:bookmarkEnd w:id="382"/>
      <w:bookmarkEnd w:id="383"/>
      <w:bookmarkStart w:id="384" w:name="_Toc16135"/>
    </w:p>
    <w:bookmarkEnd w:id="384"/>
    <w:p>
      <w:pPr>
        <w:spacing w:line="360" w:lineRule="auto"/>
        <w:ind w:firstLine="420" w:firstLineChars="200"/>
        <w:rPr>
          <w:rFonts w:ascii="宋体" w:hAnsi="宋体" w:cs="宋体"/>
        </w:rPr>
      </w:pPr>
      <w:r>
        <w:rPr>
          <w:rFonts w:hint="eastAsia" w:ascii="宋体" w:hAnsi="宋体" w:cs="宋体"/>
        </w:rPr>
        <w:t>对总包施工单位每月考评按：《中铁建工诺德城市投资有限公司施工合作单位信用评价办法》中的要求执行。</w:t>
      </w:r>
    </w:p>
    <w:p>
      <w:pPr>
        <w:spacing w:line="360" w:lineRule="auto"/>
        <w:ind w:firstLine="420" w:firstLineChars="200"/>
        <w:rPr>
          <w:rFonts w:ascii="宋体" w:hAnsi="宋体" w:cs="宋体"/>
        </w:rPr>
      </w:pPr>
    </w:p>
    <w:sectPr>
      <w:footerReference r:id="rId6" w:type="default"/>
      <w:pgSz w:w="11906" w:h="16838"/>
      <w:pgMar w:top="1134" w:right="1247" w:bottom="1134" w:left="1588" w:header="567" w:footer="56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MingLiU">
    <w:panose1 w:val="02020509000000000000"/>
    <w:charset w:val="88"/>
    <w:family w:val="moder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5"/>
      </w:rPr>
    </w:pPr>
    <w:r>
      <w:fldChar w:fldCharType="begin"/>
    </w:r>
    <w:r>
      <w:rPr>
        <w:rStyle w:val="25"/>
      </w:rPr>
      <w:instrText xml:space="preserve">PAGE  </w:instrText>
    </w:r>
    <w:r>
      <w:fldChar w:fldCharType="end"/>
    </w:r>
  </w:p>
  <w:p>
    <w:pPr>
      <w:pStyle w:val="15"/>
      <w:jc w:val="center"/>
    </w:pPr>
    <w:r>
      <w:rPr>
        <w:rFonts w:hint="eastAsia"/>
        <w:kern w:val="0"/>
      </w:rPr>
      <w:t>第页共</w:t>
    </w:r>
    <w:r>
      <w:rPr>
        <w:kern w:val="0"/>
      </w:rPr>
      <w:t xml:space="preserve"> 41 </w:t>
    </w:r>
    <w:r>
      <w:rPr>
        <w:rFonts w:hint="eastAsia"/>
        <w:kern w:val="0"/>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宋体" w:hAnsi="宋体"/>
      </w:rPr>
    </w:pPr>
    <w:r>
      <w:rPr>
        <w:rFonts w:hint="eastAsia" w:ascii="宋体" w:hAnsi="宋体"/>
      </w:rPr>
      <w:t xml:space="preserve">GC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18</w:t>
    </w:r>
    <w:r>
      <w:rPr>
        <w:rFonts w:ascii="宋体" w:hAnsi="宋体"/>
      </w:rPr>
      <w:fldChar w:fldCharType="end"/>
    </w:r>
  </w:p>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right" w:pos="9542"/>
        <w:tab w:val="clear" w:pos="4153"/>
        <w:tab w:val="clear" w:pos="8306"/>
      </w:tabs>
      <w:jc w:val="both"/>
    </w:pPr>
  </w:p>
  <w:p>
    <w:pPr>
      <w:pStyle w:val="16"/>
      <w:tabs>
        <w:tab w:val="right" w:pos="9542"/>
        <w:tab w:val="clear" w:pos="4153"/>
        <w:tab w:val="clear" w:pos="8306"/>
      </w:tabs>
      <w:jc w:val="both"/>
      <w:rPr>
        <w:sz w:val="21"/>
      </w:rPr>
    </w:pPr>
    <w:r>
      <w:rPr>
        <w:rFonts w:hint="eastAsia"/>
        <w:sz w:val="21"/>
      </w:rPr>
      <w:t>项目管理办法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8518B2"/>
    <w:multiLevelType w:val="multilevel"/>
    <w:tmpl w:val="078518B2"/>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0EF80402"/>
    <w:multiLevelType w:val="multilevel"/>
    <w:tmpl w:val="0EF80402"/>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0F15134D"/>
    <w:multiLevelType w:val="singleLevel"/>
    <w:tmpl w:val="0F15134D"/>
    <w:lvl w:ilvl="0" w:tentative="0">
      <w:start w:val="1"/>
      <w:numFmt w:val="decimal"/>
      <w:suff w:val="nothing"/>
      <w:lvlText w:val="%1、"/>
      <w:lvlJc w:val="left"/>
    </w:lvl>
  </w:abstractNum>
  <w:abstractNum w:abstractNumId="3">
    <w:nsid w:val="101A70A7"/>
    <w:multiLevelType w:val="multilevel"/>
    <w:tmpl w:val="101A70A7"/>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19A33A14"/>
    <w:multiLevelType w:val="multilevel"/>
    <w:tmpl w:val="19A33A1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25E50430"/>
    <w:multiLevelType w:val="multilevel"/>
    <w:tmpl w:val="25E50430"/>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314D1D28"/>
    <w:multiLevelType w:val="multilevel"/>
    <w:tmpl w:val="314D1D2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493E0F23"/>
    <w:multiLevelType w:val="multilevel"/>
    <w:tmpl w:val="493E0F23"/>
    <w:lvl w:ilvl="0" w:tentative="0">
      <w:start w:val="1"/>
      <w:numFmt w:val="decimal"/>
      <w:lvlText w:val="%1)"/>
      <w:lvlJc w:val="left"/>
      <w:pPr>
        <w:tabs>
          <w:tab w:val="left" w:pos="420"/>
        </w:tabs>
        <w:ind w:left="420" w:hanging="420"/>
      </w:pPr>
      <w:rPr>
        <w:rFonts w:hint="default"/>
      </w:rPr>
    </w:lvl>
    <w:lvl w:ilvl="1" w:tentative="0">
      <w:start w:val="1"/>
      <w:numFmt w:val="lowerLetter"/>
      <w:pStyle w:val="39"/>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C5F2ACA"/>
    <w:multiLevelType w:val="multilevel"/>
    <w:tmpl w:val="4C5F2ACA"/>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4E317058"/>
    <w:multiLevelType w:val="multilevel"/>
    <w:tmpl w:val="4E31705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
    <w:nsid w:val="60206A6F"/>
    <w:multiLevelType w:val="multilevel"/>
    <w:tmpl w:val="60206A6F"/>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77E02CF9"/>
    <w:multiLevelType w:val="multilevel"/>
    <w:tmpl w:val="77E02CF9"/>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
    <w:nsid w:val="7D84B319"/>
    <w:multiLevelType w:val="singleLevel"/>
    <w:tmpl w:val="7D84B319"/>
    <w:lvl w:ilvl="0" w:tentative="0">
      <w:start w:val="2"/>
      <w:numFmt w:val="decimal"/>
      <w:suff w:val="nothing"/>
      <w:lvlText w:val="%1、"/>
      <w:lvlJc w:val="left"/>
    </w:lvl>
  </w:abstractNum>
  <w:num w:numId="1">
    <w:abstractNumId w:val="7"/>
  </w:num>
  <w:num w:numId="2">
    <w:abstractNumId w:val="2"/>
  </w:num>
  <w:num w:numId="3">
    <w:abstractNumId w:val="12"/>
  </w:num>
  <w:num w:numId="4">
    <w:abstractNumId w:val="4"/>
  </w:num>
  <w:num w:numId="5">
    <w:abstractNumId w:val="8"/>
  </w:num>
  <w:num w:numId="6">
    <w:abstractNumId w:val="9"/>
  </w:num>
  <w:num w:numId="7">
    <w:abstractNumId w:val="1"/>
  </w:num>
  <w:num w:numId="8">
    <w:abstractNumId w:val="6"/>
  </w:num>
  <w:num w:numId="9">
    <w:abstractNumId w:val="5"/>
  </w:num>
  <w:num w:numId="10">
    <w:abstractNumId w:val="0"/>
  </w:num>
  <w:num w:numId="11">
    <w:abstractNumId w:val="11"/>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ZjNDhiMjRhNGRjYjdhODVkYTdlMTVlZTQ4NTM0ZDMifQ=="/>
  </w:docVars>
  <w:rsids>
    <w:rsidRoot w:val="00751533"/>
    <w:rsid w:val="00000BF3"/>
    <w:rsid w:val="000012F1"/>
    <w:rsid w:val="00001A48"/>
    <w:rsid w:val="00002320"/>
    <w:rsid w:val="0000283D"/>
    <w:rsid w:val="00004A18"/>
    <w:rsid w:val="00004EEF"/>
    <w:rsid w:val="00007284"/>
    <w:rsid w:val="00007951"/>
    <w:rsid w:val="00011814"/>
    <w:rsid w:val="00012217"/>
    <w:rsid w:val="00012702"/>
    <w:rsid w:val="00012CFA"/>
    <w:rsid w:val="000141EF"/>
    <w:rsid w:val="000176B0"/>
    <w:rsid w:val="00017A0D"/>
    <w:rsid w:val="00020DF9"/>
    <w:rsid w:val="0002135F"/>
    <w:rsid w:val="000219A7"/>
    <w:rsid w:val="00021BEA"/>
    <w:rsid w:val="0002331C"/>
    <w:rsid w:val="0002343E"/>
    <w:rsid w:val="00023E64"/>
    <w:rsid w:val="0002477C"/>
    <w:rsid w:val="0002702D"/>
    <w:rsid w:val="00027890"/>
    <w:rsid w:val="0003117C"/>
    <w:rsid w:val="000311AF"/>
    <w:rsid w:val="000325E5"/>
    <w:rsid w:val="000328F8"/>
    <w:rsid w:val="00032DCB"/>
    <w:rsid w:val="00035B02"/>
    <w:rsid w:val="00040933"/>
    <w:rsid w:val="00040CE0"/>
    <w:rsid w:val="000418C3"/>
    <w:rsid w:val="0004217C"/>
    <w:rsid w:val="00042436"/>
    <w:rsid w:val="000431ED"/>
    <w:rsid w:val="00043573"/>
    <w:rsid w:val="000437F3"/>
    <w:rsid w:val="00043872"/>
    <w:rsid w:val="00045430"/>
    <w:rsid w:val="00045502"/>
    <w:rsid w:val="0004581D"/>
    <w:rsid w:val="00045D21"/>
    <w:rsid w:val="00045FF5"/>
    <w:rsid w:val="00046BCD"/>
    <w:rsid w:val="00046F91"/>
    <w:rsid w:val="00047095"/>
    <w:rsid w:val="00047B3B"/>
    <w:rsid w:val="000502AB"/>
    <w:rsid w:val="00050CFC"/>
    <w:rsid w:val="000534E9"/>
    <w:rsid w:val="00053E94"/>
    <w:rsid w:val="00054E8E"/>
    <w:rsid w:val="00054E9C"/>
    <w:rsid w:val="00055AC4"/>
    <w:rsid w:val="00056756"/>
    <w:rsid w:val="0006133A"/>
    <w:rsid w:val="00061776"/>
    <w:rsid w:val="000627A9"/>
    <w:rsid w:val="000636A9"/>
    <w:rsid w:val="00064D41"/>
    <w:rsid w:val="0006673A"/>
    <w:rsid w:val="00066C11"/>
    <w:rsid w:val="00067461"/>
    <w:rsid w:val="00071236"/>
    <w:rsid w:val="0007147C"/>
    <w:rsid w:val="000719FF"/>
    <w:rsid w:val="00071D50"/>
    <w:rsid w:val="00072162"/>
    <w:rsid w:val="0007314C"/>
    <w:rsid w:val="00073F20"/>
    <w:rsid w:val="000749E3"/>
    <w:rsid w:val="00074D36"/>
    <w:rsid w:val="00076599"/>
    <w:rsid w:val="000765F7"/>
    <w:rsid w:val="00077124"/>
    <w:rsid w:val="00077E6A"/>
    <w:rsid w:val="0008011A"/>
    <w:rsid w:val="00080433"/>
    <w:rsid w:val="00081C4B"/>
    <w:rsid w:val="0008295D"/>
    <w:rsid w:val="000840D9"/>
    <w:rsid w:val="000853DD"/>
    <w:rsid w:val="0008582B"/>
    <w:rsid w:val="00085D12"/>
    <w:rsid w:val="00085EF1"/>
    <w:rsid w:val="0008674A"/>
    <w:rsid w:val="000870BB"/>
    <w:rsid w:val="00087F9B"/>
    <w:rsid w:val="0009056B"/>
    <w:rsid w:val="0009150E"/>
    <w:rsid w:val="00091C80"/>
    <w:rsid w:val="0009315C"/>
    <w:rsid w:val="00093C19"/>
    <w:rsid w:val="0009482D"/>
    <w:rsid w:val="000951DF"/>
    <w:rsid w:val="00095410"/>
    <w:rsid w:val="00095CC4"/>
    <w:rsid w:val="00095F90"/>
    <w:rsid w:val="00096D8E"/>
    <w:rsid w:val="00097D6D"/>
    <w:rsid w:val="000A111B"/>
    <w:rsid w:val="000A135F"/>
    <w:rsid w:val="000A1AA8"/>
    <w:rsid w:val="000A1CD7"/>
    <w:rsid w:val="000A331E"/>
    <w:rsid w:val="000A36CE"/>
    <w:rsid w:val="000A3750"/>
    <w:rsid w:val="000A3E73"/>
    <w:rsid w:val="000A4B59"/>
    <w:rsid w:val="000A6505"/>
    <w:rsid w:val="000A651A"/>
    <w:rsid w:val="000A744A"/>
    <w:rsid w:val="000B1283"/>
    <w:rsid w:val="000B2189"/>
    <w:rsid w:val="000B3A45"/>
    <w:rsid w:val="000B3A7E"/>
    <w:rsid w:val="000B3BC5"/>
    <w:rsid w:val="000B4142"/>
    <w:rsid w:val="000B4568"/>
    <w:rsid w:val="000B4C46"/>
    <w:rsid w:val="000B4C77"/>
    <w:rsid w:val="000B4D22"/>
    <w:rsid w:val="000B518C"/>
    <w:rsid w:val="000B72F4"/>
    <w:rsid w:val="000C1086"/>
    <w:rsid w:val="000C200D"/>
    <w:rsid w:val="000C2EC8"/>
    <w:rsid w:val="000C382C"/>
    <w:rsid w:val="000C3BF4"/>
    <w:rsid w:val="000C3E30"/>
    <w:rsid w:val="000C55A4"/>
    <w:rsid w:val="000C64D4"/>
    <w:rsid w:val="000C7EBD"/>
    <w:rsid w:val="000D0883"/>
    <w:rsid w:val="000D116E"/>
    <w:rsid w:val="000D18EB"/>
    <w:rsid w:val="000D1BA0"/>
    <w:rsid w:val="000D22B9"/>
    <w:rsid w:val="000D22ED"/>
    <w:rsid w:val="000D2CC8"/>
    <w:rsid w:val="000D2EBF"/>
    <w:rsid w:val="000D3D3E"/>
    <w:rsid w:val="000D463E"/>
    <w:rsid w:val="000D4C23"/>
    <w:rsid w:val="000D5295"/>
    <w:rsid w:val="000D5774"/>
    <w:rsid w:val="000D57D6"/>
    <w:rsid w:val="000D5F3E"/>
    <w:rsid w:val="000D6C41"/>
    <w:rsid w:val="000D6E24"/>
    <w:rsid w:val="000D78F2"/>
    <w:rsid w:val="000D7F10"/>
    <w:rsid w:val="000E094E"/>
    <w:rsid w:val="000E0B49"/>
    <w:rsid w:val="000E175E"/>
    <w:rsid w:val="000E1C0C"/>
    <w:rsid w:val="000E2522"/>
    <w:rsid w:val="000E2EE3"/>
    <w:rsid w:val="000E4263"/>
    <w:rsid w:val="000E43F6"/>
    <w:rsid w:val="000F09C9"/>
    <w:rsid w:val="000F0A15"/>
    <w:rsid w:val="000F0D59"/>
    <w:rsid w:val="000F0E83"/>
    <w:rsid w:val="000F1785"/>
    <w:rsid w:val="000F2938"/>
    <w:rsid w:val="000F2968"/>
    <w:rsid w:val="000F2E00"/>
    <w:rsid w:val="000F3594"/>
    <w:rsid w:val="000F3BD7"/>
    <w:rsid w:val="000F43B4"/>
    <w:rsid w:val="000F485A"/>
    <w:rsid w:val="000F4E6E"/>
    <w:rsid w:val="000F580A"/>
    <w:rsid w:val="000F758F"/>
    <w:rsid w:val="000F79C3"/>
    <w:rsid w:val="001004D2"/>
    <w:rsid w:val="00101CE3"/>
    <w:rsid w:val="00101E75"/>
    <w:rsid w:val="00102821"/>
    <w:rsid w:val="001037AF"/>
    <w:rsid w:val="00103F88"/>
    <w:rsid w:val="00104DF7"/>
    <w:rsid w:val="001063E0"/>
    <w:rsid w:val="0010650D"/>
    <w:rsid w:val="00107467"/>
    <w:rsid w:val="001104A4"/>
    <w:rsid w:val="00110560"/>
    <w:rsid w:val="00110726"/>
    <w:rsid w:val="00110EBF"/>
    <w:rsid w:val="001111C6"/>
    <w:rsid w:val="00111640"/>
    <w:rsid w:val="00111721"/>
    <w:rsid w:val="00111A44"/>
    <w:rsid w:val="00113957"/>
    <w:rsid w:val="0011584C"/>
    <w:rsid w:val="0011726A"/>
    <w:rsid w:val="001174E2"/>
    <w:rsid w:val="00117697"/>
    <w:rsid w:val="00120177"/>
    <w:rsid w:val="00122B14"/>
    <w:rsid w:val="00124397"/>
    <w:rsid w:val="001256C4"/>
    <w:rsid w:val="00125941"/>
    <w:rsid w:val="00126631"/>
    <w:rsid w:val="00127EB2"/>
    <w:rsid w:val="00127FD0"/>
    <w:rsid w:val="001306AD"/>
    <w:rsid w:val="0013199E"/>
    <w:rsid w:val="001320B7"/>
    <w:rsid w:val="00132834"/>
    <w:rsid w:val="00132ADA"/>
    <w:rsid w:val="00134766"/>
    <w:rsid w:val="001348F3"/>
    <w:rsid w:val="00135D60"/>
    <w:rsid w:val="00136A49"/>
    <w:rsid w:val="0013730C"/>
    <w:rsid w:val="00137D00"/>
    <w:rsid w:val="00140A58"/>
    <w:rsid w:val="001416A6"/>
    <w:rsid w:val="0014254A"/>
    <w:rsid w:val="00143543"/>
    <w:rsid w:val="00143881"/>
    <w:rsid w:val="00143AAA"/>
    <w:rsid w:val="0014417E"/>
    <w:rsid w:val="001446EA"/>
    <w:rsid w:val="00145822"/>
    <w:rsid w:val="00147858"/>
    <w:rsid w:val="00147925"/>
    <w:rsid w:val="00147ADE"/>
    <w:rsid w:val="0015043E"/>
    <w:rsid w:val="00150BA4"/>
    <w:rsid w:val="00150BC7"/>
    <w:rsid w:val="00150DD7"/>
    <w:rsid w:val="00150EAD"/>
    <w:rsid w:val="00151A7F"/>
    <w:rsid w:val="00154B66"/>
    <w:rsid w:val="00154EC0"/>
    <w:rsid w:val="001554BE"/>
    <w:rsid w:val="00155875"/>
    <w:rsid w:val="001560C4"/>
    <w:rsid w:val="00156283"/>
    <w:rsid w:val="00156F42"/>
    <w:rsid w:val="001571A4"/>
    <w:rsid w:val="00157977"/>
    <w:rsid w:val="00160384"/>
    <w:rsid w:val="00160A76"/>
    <w:rsid w:val="00161A66"/>
    <w:rsid w:val="00165534"/>
    <w:rsid w:val="00165553"/>
    <w:rsid w:val="001662C9"/>
    <w:rsid w:val="00167C0F"/>
    <w:rsid w:val="00170564"/>
    <w:rsid w:val="00170616"/>
    <w:rsid w:val="00170922"/>
    <w:rsid w:val="00170EC6"/>
    <w:rsid w:val="0017250C"/>
    <w:rsid w:val="00173294"/>
    <w:rsid w:val="00173C21"/>
    <w:rsid w:val="00175EE0"/>
    <w:rsid w:val="00175F4E"/>
    <w:rsid w:val="0017611F"/>
    <w:rsid w:val="001818B4"/>
    <w:rsid w:val="00182D31"/>
    <w:rsid w:val="0018379A"/>
    <w:rsid w:val="001848C8"/>
    <w:rsid w:val="0018529A"/>
    <w:rsid w:val="00187102"/>
    <w:rsid w:val="00187A32"/>
    <w:rsid w:val="00187D65"/>
    <w:rsid w:val="00193C7B"/>
    <w:rsid w:val="00193D09"/>
    <w:rsid w:val="0019413E"/>
    <w:rsid w:val="00195D14"/>
    <w:rsid w:val="001967F2"/>
    <w:rsid w:val="0019764E"/>
    <w:rsid w:val="001A0D75"/>
    <w:rsid w:val="001A1106"/>
    <w:rsid w:val="001A1C18"/>
    <w:rsid w:val="001A28DB"/>
    <w:rsid w:val="001A3F09"/>
    <w:rsid w:val="001A58FE"/>
    <w:rsid w:val="001A72EC"/>
    <w:rsid w:val="001A7ABB"/>
    <w:rsid w:val="001B0062"/>
    <w:rsid w:val="001B07A3"/>
    <w:rsid w:val="001B1339"/>
    <w:rsid w:val="001B2298"/>
    <w:rsid w:val="001B4DE5"/>
    <w:rsid w:val="001B5F75"/>
    <w:rsid w:val="001B75C3"/>
    <w:rsid w:val="001B7CE0"/>
    <w:rsid w:val="001B7D20"/>
    <w:rsid w:val="001C200D"/>
    <w:rsid w:val="001C3A6C"/>
    <w:rsid w:val="001C3D7C"/>
    <w:rsid w:val="001C3EC1"/>
    <w:rsid w:val="001C4042"/>
    <w:rsid w:val="001C40CD"/>
    <w:rsid w:val="001C5326"/>
    <w:rsid w:val="001C6360"/>
    <w:rsid w:val="001C6667"/>
    <w:rsid w:val="001C667D"/>
    <w:rsid w:val="001C7B84"/>
    <w:rsid w:val="001D0701"/>
    <w:rsid w:val="001D120A"/>
    <w:rsid w:val="001D2786"/>
    <w:rsid w:val="001D2AEF"/>
    <w:rsid w:val="001D312B"/>
    <w:rsid w:val="001D3299"/>
    <w:rsid w:val="001D356B"/>
    <w:rsid w:val="001D44AF"/>
    <w:rsid w:val="001D6A17"/>
    <w:rsid w:val="001D6C07"/>
    <w:rsid w:val="001D7181"/>
    <w:rsid w:val="001D74BE"/>
    <w:rsid w:val="001E10B2"/>
    <w:rsid w:val="001E175B"/>
    <w:rsid w:val="001E22BB"/>
    <w:rsid w:val="001E2F7D"/>
    <w:rsid w:val="001E3AE9"/>
    <w:rsid w:val="001E3D34"/>
    <w:rsid w:val="001E4EB3"/>
    <w:rsid w:val="001E6C89"/>
    <w:rsid w:val="001E6EDA"/>
    <w:rsid w:val="001E702A"/>
    <w:rsid w:val="001F0378"/>
    <w:rsid w:val="001F0DF9"/>
    <w:rsid w:val="001F17F1"/>
    <w:rsid w:val="001F2287"/>
    <w:rsid w:val="001F353D"/>
    <w:rsid w:val="001F507E"/>
    <w:rsid w:val="00201375"/>
    <w:rsid w:val="00202B4E"/>
    <w:rsid w:val="0020460F"/>
    <w:rsid w:val="00205079"/>
    <w:rsid w:val="002055E9"/>
    <w:rsid w:val="00205BB7"/>
    <w:rsid w:val="0020623A"/>
    <w:rsid w:val="0020658D"/>
    <w:rsid w:val="002065D8"/>
    <w:rsid w:val="00206901"/>
    <w:rsid w:val="0021017B"/>
    <w:rsid w:val="0021045C"/>
    <w:rsid w:val="00210E62"/>
    <w:rsid w:val="0021179B"/>
    <w:rsid w:val="002119A4"/>
    <w:rsid w:val="00212148"/>
    <w:rsid w:val="00213B1F"/>
    <w:rsid w:val="00213CF6"/>
    <w:rsid w:val="002145C6"/>
    <w:rsid w:val="00214FBB"/>
    <w:rsid w:val="00215200"/>
    <w:rsid w:val="002169DD"/>
    <w:rsid w:val="00220019"/>
    <w:rsid w:val="002215BF"/>
    <w:rsid w:val="002218AF"/>
    <w:rsid w:val="002224EF"/>
    <w:rsid w:val="002226E0"/>
    <w:rsid w:val="00222E06"/>
    <w:rsid w:val="00223144"/>
    <w:rsid w:val="002232D9"/>
    <w:rsid w:val="002236B8"/>
    <w:rsid w:val="0022455D"/>
    <w:rsid w:val="002245D0"/>
    <w:rsid w:val="002249CE"/>
    <w:rsid w:val="00224F82"/>
    <w:rsid w:val="0022525B"/>
    <w:rsid w:val="00225F91"/>
    <w:rsid w:val="00226408"/>
    <w:rsid w:val="00226728"/>
    <w:rsid w:val="00226F31"/>
    <w:rsid w:val="00226F70"/>
    <w:rsid w:val="002274B0"/>
    <w:rsid w:val="0023165D"/>
    <w:rsid w:val="00231B12"/>
    <w:rsid w:val="00232BF3"/>
    <w:rsid w:val="00232F5B"/>
    <w:rsid w:val="002357ED"/>
    <w:rsid w:val="00237181"/>
    <w:rsid w:val="0023746A"/>
    <w:rsid w:val="0024021A"/>
    <w:rsid w:val="0024205E"/>
    <w:rsid w:val="002434E5"/>
    <w:rsid w:val="002456E7"/>
    <w:rsid w:val="002460D0"/>
    <w:rsid w:val="00246326"/>
    <w:rsid w:val="0025078E"/>
    <w:rsid w:val="00250DAE"/>
    <w:rsid w:val="00252F3F"/>
    <w:rsid w:val="00253574"/>
    <w:rsid w:val="00253820"/>
    <w:rsid w:val="00253F6D"/>
    <w:rsid w:val="00254469"/>
    <w:rsid w:val="00254F93"/>
    <w:rsid w:val="0025778C"/>
    <w:rsid w:val="00262645"/>
    <w:rsid w:val="002639EA"/>
    <w:rsid w:val="00263BFB"/>
    <w:rsid w:val="00263DAC"/>
    <w:rsid w:val="0026401D"/>
    <w:rsid w:val="0026422F"/>
    <w:rsid w:val="00264B03"/>
    <w:rsid w:val="0026649A"/>
    <w:rsid w:val="00266CAB"/>
    <w:rsid w:val="00267B8F"/>
    <w:rsid w:val="00267CCC"/>
    <w:rsid w:val="00270929"/>
    <w:rsid w:val="002709F2"/>
    <w:rsid w:val="00271746"/>
    <w:rsid w:val="00271913"/>
    <w:rsid w:val="00272A55"/>
    <w:rsid w:val="00272E30"/>
    <w:rsid w:val="002738BD"/>
    <w:rsid w:val="00273BD7"/>
    <w:rsid w:val="002767A5"/>
    <w:rsid w:val="00277276"/>
    <w:rsid w:val="00280B21"/>
    <w:rsid w:val="00280D0B"/>
    <w:rsid w:val="00280DDA"/>
    <w:rsid w:val="00281C10"/>
    <w:rsid w:val="002826A9"/>
    <w:rsid w:val="00283696"/>
    <w:rsid w:val="00283B6A"/>
    <w:rsid w:val="00284AF5"/>
    <w:rsid w:val="00284BDA"/>
    <w:rsid w:val="00285B2A"/>
    <w:rsid w:val="00285E4D"/>
    <w:rsid w:val="002860C9"/>
    <w:rsid w:val="0028654C"/>
    <w:rsid w:val="00286B00"/>
    <w:rsid w:val="002901F2"/>
    <w:rsid w:val="002910C8"/>
    <w:rsid w:val="002914E7"/>
    <w:rsid w:val="002947F9"/>
    <w:rsid w:val="0029633A"/>
    <w:rsid w:val="00296743"/>
    <w:rsid w:val="002967F9"/>
    <w:rsid w:val="00296883"/>
    <w:rsid w:val="002969CC"/>
    <w:rsid w:val="0029770E"/>
    <w:rsid w:val="00297B7A"/>
    <w:rsid w:val="002A007E"/>
    <w:rsid w:val="002A2640"/>
    <w:rsid w:val="002A3030"/>
    <w:rsid w:val="002A3E65"/>
    <w:rsid w:val="002A455A"/>
    <w:rsid w:val="002A5F66"/>
    <w:rsid w:val="002A6356"/>
    <w:rsid w:val="002A677C"/>
    <w:rsid w:val="002A7C02"/>
    <w:rsid w:val="002A7C0E"/>
    <w:rsid w:val="002A7E3F"/>
    <w:rsid w:val="002B15AC"/>
    <w:rsid w:val="002B1999"/>
    <w:rsid w:val="002B1B3E"/>
    <w:rsid w:val="002B345E"/>
    <w:rsid w:val="002B3B5F"/>
    <w:rsid w:val="002B3EA2"/>
    <w:rsid w:val="002B4FE4"/>
    <w:rsid w:val="002B6A43"/>
    <w:rsid w:val="002C0411"/>
    <w:rsid w:val="002C056F"/>
    <w:rsid w:val="002C0B60"/>
    <w:rsid w:val="002C0FCE"/>
    <w:rsid w:val="002C1202"/>
    <w:rsid w:val="002C4130"/>
    <w:rsid w:val="002C4AA6"/>
    <w:rsid w:val="002C58C5"/>
    <w:rsid w:val="002C5A94"/>
    <w:rsid w:val="002C6496"/>
    <w:rsid w:val="002C68EF"/>
    <w:rsid w:val="002C79FC"/>
    <w:rsid w:val="002D0683"/>
    <w:rsid w:val="002D115A"/>
    <w:rsid w:val="002D1760"/>
    <w:rsid w:val="002D18D6"/>
    <w:rsid w:val="002D2A07"/>
    <w:rsid w:val="002D2A7C"/>
    <w:rsid w:val="002D2E4D"/>
    <w:rsid w:val="002D40FA"/>
    <w:rsid w:val="002D5521"/>
    <w:rsid w:val="002D5CD0"/>
    <w:rsid w:val="002D6D33"/>
    <w:rsid w:val="002E0184"/>
    <w:rsid w:val="002E0291"/>
    <w:rsid w:val="002E14AB"/>
    <w:rsid w:val="002E166D"/>
    <w:rsid w:val="002E3378"/>
    <w:rsid w:val="002E4210"/>
    <w:rsid w:val="002E5196"/>
    <w:rsid w:val="002E51E7"/>
    <w:rsid w:val="002E6692"/>
    <w:rsid w:val="002E6C02"/>
    <w:rsid w:val="002E7089"/>
    <w:rsid w:val="002F04AD"/>
    <w:rsid w:val="002F0C92"/>
    <w:rsid w:val="002F29B3"/>
    <w:rsid w:val="002F4BB0"/>
    <w:rsid w:val="002F4ED1"/>
    <w:rsid w:val="002F5F02"/>
    <w:rsid w:val="002F6CAC"/>
    <w:rsid w:val="002F77FA"/>
    <w:rsid w:val="00300777"/>
    <w:rsid w:val="00300FE2"/>
    <w:rsid w:val="00301651"/>
    <w:rsid w:val="00301726"/>
    <w:rsid w:val="003017DD"/>
    <w:rsid w:val="00302B23"/>
    <w:rsid w:val="0030423E"/>
    <w:rsid w:val="00304433"/>
    <w:rsid w:val="0030480A"/>
    <w:rsid w:val="00304AB2"/>
    <w:rsid w:val="00305CDC"/>
    <w:rsid w:val="0030762A"/>
    <w:rsid w:val="0031011F"/>
    <w:rsid w:val="00311A69"/>
    <w:rsid w:val="00312299"/>
    <w:rsid w:val="00312C01"/>
    <w:rsid w:val="00313384"/>
    <w:rsid w:val="0031699D"/>
    <w:rsid w:val="00320272"/>
    <w:rsid w:val="003203B5"/>
    <w:rsid w:val="00320656"/>
    <w:rsid w:val="00321A71"/>
    <w:rsid w:val="00321B96"/>
    <w:rsid w:val="0032227E"/>
    <w:rsid w:val="0032275B"/>
    <w:rsid w:val="00322C18"/>
    <w:rsid w:val="00322C89"/>
    <w:rsid w:val="0032370E"/>
    <w:rsid w:val="00323789"/>
    <w:rsid w:val="0032487D"/>
    <w:rsid w:val="003258F9"/>
    <w:rsid w:val="00325F69"/>
    <w:rsid w:val="00331E39"/>
    <w:rsid w:val="0033203A"/>
    <w:rsid w:val="003325D1"/>
    <w:rsid w:val="003335DA"/>
    <w:rsid w:val="00333692"/>
    <w:rsid w:val="00335692"/>
    <w:rsid w:val="00337723"/>
    <w:rsid w:val="00340560"/>
    <w:rsid w:val="0034291E"/>
    <w:rsid w:val="003432D2"/>
    <w:rsid w:val="00343D48"/>
    <w:rsid w:val="0034662C"/>
    <w:rsid w:val="0035006A"/>
    <w:rsid w:val="003508F3"/>
    <w:rsid w:val="00351201"/>
    <w:rsid w:val="0035198B"/>
    <w:rsid w:val="0035235B"/>
    <w:rsid w:val="003526D6"/>
    <w:rsid w:val="00354426"/>
    <w:rsid w:val="003548C6"/>
    <w:rsid w:val="003548DA"/>
    <w:rsid w:val="00355D2E"/>
    <w:rsid w:val="00355EE5"/>
    <w:rsid w:val="0036046B"/>
    <w:rsid w:val="00360731"/>
    <w:rsid w:val="00360C13"/>
    <w:rsid w:val="003624F8"/>
    <w:rsid w:val="003632BB"/>
    <w:rsid w:val="0036571F"/>
    <w:rsid w:val="00367D1F"/>
    <w:rsid w:val="0037178C"/>
    <w:rsid w:val="00372041"/>
    <w:rsid w:val="00372C00"/>
    <w:rsid w:val="00373635"/>
    <w:rsid w:val="00374200"/>
    <w:rsid w:val="00374471"/>
    <w:rsid w:val="00374FEC"/>
    <w:rsid w:val="003752AD"/>
    <w:rsid w:val="0037743A"/>
    <w:rsid w:val="003775C0"/>
    <w:rsid w:val="003803F6"/>
    <w:rsid w:val="00380C17"/>
    <w:rsid w:val="0038223B"/>
    <w:rsid w:val="00384AA9"/>
    <w:rsid w:val="0038546E"/>
    <w:rsid w:val="00385751"/>
    <w:rsid w:val="00385F59"/>
    <w:rsid w:val="00387B48"/>
    <w:rsid w:val="00387E36"/>
    <w:rsid w:val="00391319"/>
    <w:rsid w:val="003917C0"/>
    <w:rsid w:val="00391A72"/>
    <w:rsid w:val="00392DFA"/>
    <w:rsid w:val="0039367B"/>
    <w:rsid w:val="00393795"/>
    <w:rsid w:val="003953E4"/>
    <w:rsid w:val="003973A7"/>
    <w:rsid w:val="003975D0"/>
    <w:rsid w:val="00397DF2"/>
    <w:rsid w:val="003A0003"/>
    <w:rsid w:val="003A124D"/>
    <w:rsid w:val="003A1396"/>
    <w:rsid w:val="003A2283"/>
    <w:rsid w:val="003A31D8"/>
    <w:rsid w:val="003A3923"/>
    <w:rsid w:val="003A4448"/>
    <w:rsid w:val="003A4B21"/>
    <w:rsid w:val="003A5A7F"/>
    <w:rsid w:val="003A73E4"/>
    <w:rsid w:val="003A74B7"/>
    <w:rsid w:val="003B0343"/>
    <w:rsid w:val="003B0A05"/>
    <w:rsid w:val="003B0B1F"/>
    <w:rsid w:val="003B0FD0"/>
    <w:rsid w:val="003B1696"/>
    <w:rsid w:val="003C1658"/>
    <w:rsid w:val="003C2D92"/>
    <w:rsid w:val="003C3D5C"/>
    <w:rsid w:val="003C4B98"/>
    <w:rsid w:val="003C52E6"/>
    <w:rsid w:val="003C6B36"/>
    <w:rsid w:val="003C73A3"/>
    <w:rsid w:val="003C78C4"/>
    <w:rsid w:val="003D1425"/>
    <w:rsid w:val="003D1472"/>
    <w:rsid w:val="003D1CDB"/>
    <w:rsid w:val="003D28AC"/>
    <w:rsid w:val="003D4549"/>
    <w:rsid w:val="003D569C"/>
    <w:rsid w:val="003D6F2F"/>
    <w:rsid w:val="003E1EF1"/>
    <w:rsid w:val="003E2040"/>
    <w:rsid w:val="003E20FD"/>
    <w:rsid w:val="003E2CBC"/>
    <w:rsid w:val="003E4717"/>
    <w:rsid w:val="003E4E96"/>
    <w:rsid w:val="003E6284"/>
    <w:rsid w:val="003E7551"/>
    <w:rsid w:val="003F060E"/>
    <w:rsid w:val="003F1674"/>
    <w:rsid w:val="003F2B34"/>
    <w:rsid w:val="003F2FBD"/>
    <w:rsid w:val="003F346D"/>
    <w:rsid w:val="003F3722"/>
    <w:rsid w:val="003F6862"/>
    <w:rsid w:val="003F6881"/>
    <w:rsid w:val="003F6A59"/>
    <w:rsid w:val="003F6D47"/>
    <w:rsid w:val="003F6E0F"/>
    <w:rsid w:val="003F7D9C"/>
    <w:rsid w:val="00401491"/>
    <w:rsid w:val="00402A12"/>
    <w:rsid w:val="00402FF8"/>
    <w:rsid w:val="0040367C"/>
    <w:rsid w:val="004038D8"/>
    <w:rsid w:val="004042A4"/>
    <w:rsid w:val="00404487"/>
    <w:rsid w:val="00404F69"/>
    <w:rsid w:val="004054F3"/>
    <w:rsid w:val="00405F6B"/>
    <w:rsid w:val="00406138"/>
    <w:rsid w:val="004063A8"/>
    <w:rsid w:val="004066BB"/>
    <w:rsid w:val="00406DA1"/>
    <w:rsid w:val="00410578"/>
    <w:rsid w:val="00410A0C"/>
    <w:rsid w:val="00411FDF"/>
    <w:rsid w:val="00412BF5"/>
    <w:rsid w:val="0041306C"/>
    <w:rsid w:val="004130E2"/>
    <w:rsid w:val="00413E81"/>
    <w:rsid w:val="004149C2"/>
    <w:rsid w:val="004167DF"/>
    <w:rsid w:val="00416D3A"/>
    <w:rsid w:val="00417638"/>
    <w:rsid w:val="0041790D"/>
    <w:rsid w:val="00417E40"/>
    <w:rsid w:val="0042020C"/>
    <w:rsid w:val="00422169"/>
    <w:rsid w:val="00422E93"/>
    <w:rsid w:val="00422EBA"/>
    <w:rsid w:val="0042403A"/>
    <w:rsid w:val="004241A3"/>
    <w:rsid w:val="00425B1C"/>
    <w:rsid w:val="00425B52"/>
    <w:rsid w:val="00425B87"/>
    <w:rsid w:val="00425EA7"/>
    <w:rsid w:val="004307E2"/>
    <w:rsid w:val="0043102A"/>
    <w:rsid w:val="00431EA8"/>
    <w:rsid w:val="0043261A"/>
    <w:rsid w:val="0043329A"/>
    <w:rsid w:val="00433846"/>
    <w:rsid w:val="00433986"/>
    <w:rsid w:val="00433D3A"/>
    <w:rsid w:val="00434925"/>
    <w:rsid w:val="00434FA0"/>
    <w:rsid w:val="00436900"/>
    <w:rsid w:val="0043790A"/>
    <w:rsid w:val="00441173"/>
    <w:rsid w:val="00441637"/>
    <w:rsid w:val="00441E29"/>
    <w:rsid w:val="004421DF"/>
    <w:rsid w:val="00442734"/>
    <w:rsid w:val="004439CD"/>
    <w:rsid w:val="00443A83"/>
    <w:rsid w:val="0044569B"/>
    <w:rsid w:val="00446D28"/>
    <w:rsid w:val="00446FE4"/>
    <w:rsid w:val="00447335"/>
    <w:rsid w:val="0044756B"/>
    <w:rsid w:val="00447BFC"/>
    <w:rsid w:val="004504C8"/>
    <w:rsid w:val="00450FA6"/>
    <w:rsid w:val="004513C4"/>
    <w:rsid w:val="00451A7B"/>
    <w:rsid w:val="00451D96"/>
    <w:rsid w:val="00451E35"/>
    <w:rsid w:val="00452273"/>
    <w:rsid w:val="00452797"/>
    <w:rsid w:val="00454412"/>
    <w:rsid w:val="004549FF"/>
    <w:rsid w:val="00454DB2"/>
    <w:rsid w:val="00460F97"/>
    <w:rsid w:val="0046241D"/>
    <w:rsid w:val="00462F95"/>
    <w:rsid w:val="00463F02"/>
    <w:rsid w:val="00464783"/>
    <w:rsid w:val="004647AC"/>
    <w:rsid w:val="004650CD"/>
    <w:rsid w:val="00465D4D"/>
    <w:rsid w:val="0046664C"/>
    <w:rsid w:val="004713DC"/>
    <w:rsid w:val="00471413"/>
    <w:rsid w:val="00471674"/>
    <w:rsid w:val="00471CE4"/>
    <w:rsid w:val="004726EC"/>
    <w:rsid w:val="00473393"/>
    <w:rsid w:val="00473457"/>
    <w:rsid w:val="0047418C"/>
    <w:rsid w:val="004747B9"/>
    <w:rsid w:val="00474EF3"/>
    <w:rsid w:val="004750A0"/>
    <w:rsid w:val="004752F3"/>
    <w:rsid w:val="0047582B"/>
    <w:rsid w:val="00476955"/>
    <w:rsid w:val="00480407"/>
    <w:rsid w:val="00480E4F"/>
    <w:rsid w:val="004810C1"/>
    <w:rsid w:val="00483311"/>
    <w:rsid w:val="00483BAE"/>
    <w:rsid w:val="0048426D"/>
    <w:rsid w:val="00485454"/>
    <w:rsid w:val="00485B56"/>
    <w:rsid w:val="00485D69"/>
    <w:rsid w:val="00486AD7"/>
    <w:rsid w:val="004913B6"/>
    <w:rsid w:val="00492359"/>
    <w:rsid w:val="00493D42"/>
    <w:rsid w:val="004943D6"/>
    <w:rsid w:val="004947A9"/>
    <w:rsid w:val="004A0F33"/>
    <w:rsid w:val="004A0F6C"/>
    <w:rsid w:val="004A0F77"/>
    <w:rsid w:val="004A1A81"/>
    <w:rsid w:val="004A1CA4"/>
    <w:rsid w:val="004A4659"/>
    <w:rsid w:val="004A4F08"/>
    <w:rsid w:val="004A5C03"/>
    <w:rsid w:val="004A6B6C"/>
    <w:rsid w:val="004A75CE"/>
    <w:rsid w:val="004A7761"/>
    <w:rsid w:val="004B0DB6"/>
    <w:rsid w:val="004B2C9B"/>
    <w:rsid w:val="004B4DEF"/>
    <w:rsid w:val="004B5E0D"/>
    <w:rsid w:val="004C2612"/>
    <w:rsid w:val="004C281A"/>
    <w:rsid w:val="004C35B9"/>
    <w:rsid w:val="004C4749"/>
    <w:rsid w:val="004C5517"/>
    <w:rsid w:val="004C6A0D"/>
    <w:rsid w:val="004C6B0E"/>
    <w:rsid w:val="004D047F"/>
    <w:rsid w:val="004D0B3E"/>
    <w:rsid w:val="004D0F23"/>
    <w:rsid w:val="004D19F3"/>
    <w:rsid w:val="004D2217"/>
    <w:rsid w:val="004D3340"/>
    <w:rsid w:val="004D3EB9"/>
    <w:rsid w:val="004D4369"/>
    <w:rsid w:val="004D536C"/>
    <w:rsid w:val="004D6F7F"/>
    <w:rsid w:val="004D73AE"/>
    <w:rsid w:val="004D7AA4"/>
    <w:rsid w:val="004D7AFE"/>
    <w:rsid w:val="004E0E1D"/>
    <w:rsid w:val="004E4FCA"/>
    <w:rsid w:val="004E616D"/>
    <w:rsid w:val="004E69D1"/>
    <w:rsid w:val="004F0DD2"/>
    <w:rsid w:val="004F152D"/>
    <w:rsid w:val="004F1AF7"/>
    <w:rsid w:val="004F1C02"/>
    <w:rsid w:val="004F2830"/>
    <w:rsid w:val="004F3882"/>
    <w:rsid w:val="004F4907"/>
    <w:rsid w:val="004F5187"/>
    <w:rsid w:val="004F51E7"/>
    <w:rsid w:val="004F7929"/>
    <w:rsid w:val="005002B6"/>
    <w:rsid w:val="005005B7"/>
    <w:rsid w:val="0050133D"/>
    <w:rsid w:val="00501D36"/>
    <w:rsid w:val="00502D50"/>
    <w:rsid w:val="00503506"/>
    <w:rsid w:val="0050395C"/>
    <w:rsid w:val="005039A5"/>
    <w:rsid w:val="005048FB"/>
    <w:rsid w:val="00504A6D"/>
    <w:rsid w:val="005052AD"/>
    <w:rsid w:val="00505659"/>
    <w:rsid w:val="005058E5"/>
    <w:rsid w:val="005077EC"/>
    <w:rsid w:val="00511F88"/>
    <w:rsid w:val="00513FE0"/>
    <w:rsid w:val="00515655"/>
    <w:rsid w:val="00516515"/>
    <w:rsid w:val="005167E8"/>
    <w:rsid w:val="005168E4"/>
    <w:rsid w:val="005207EA"/>
    <w:rsid w:val="005212BE"/>
    <w:rsid w:val="00521B47"/>
    <w:rsid w:val="00521E46"/>
    <w:rsid w:val="005236EC"/>
    <w:rsid w:val="005240C8"/>
    <w:rsid w:val="0052463E"/>
    <w:rsid w:val="00524BD3"/>
    <w:rsid w:val="00524F05"/>
    <w:rsid w:val="005254E3"/>
    <w:rsid w:val="00525CBC"/>
    <w:rsid w:val="00526297"/>
    <w:rsid w:val="00526FF7"/>
    <w:rsid w:val="00527ABB"/>
    <w:rsid w:val="00530334"/>
    <w:rsid w:val="00532301"/>
    <w:rsid w:val="0053382B"/>
    <w:rsid w:val="005341C1"/>
    <w:rsid w:val="00534945"/>
    <w:rsid w:val="00534AF2"/>
    <w:rsid w:val="00535322"/>
    <w:rsid w:val="00535961"/>
    <w:rsid w:val="00536746"/>
    <w:rsid w:val="00536E30"/>
    <w:rsid w:val="00536E85"/>
    <w:rsid w:val="00537DDD"/>
    <w:rsid w:val="00540209"/>
    <w:rsid w:val="0054067E"/>
    <w:rsid w:val="0054093E"/>
    <w:rsid w:val="005409C6"/>
    <w:rsid w:val="00542BA5"/>
    <w:rsid w:val="00542E7D"/>
    <w:rsid w:val="0054314E"/>
    <w:rsid w:val="0054329A"/>
    <w:rsid w:val="00543AC0"/>
    <w:rsid w:val="005459FA"/>
    <w:rsid w:val="00545D2C"/>
    <w:rsid w:val="005512F1"/>
    <w:rsid w:val="00552378"/>
    <w:rsid w:val="005524BE"/>
    <w:rsid w:val="00553BE9"/>
    <w:rsid w:val="005555D6"/>
    <w:rsid w:val="00556604"/>
    <w:rsid w:val="00556B15"/>
    <w:rsid w:val="0056149E"/>
    <w:rsid w:val="00561827"/>
    <w:rsid w:val="005632D9"/>
    <w:rsid w:val="00563789"/>
    <w:rsid w:val="00563D9A"/>
    <w:rsid w:val="005651A8"/>
    <w:rsid w:val="0056603A"/>
    <w:rsid w:val="00566BF8"/>
    <w:rsid w:val="00567BE4"/>
    <w:rsid w:val="00570F8E"/>
    <w:rsid w:val="00572625"/>
    <w:rsid w:val="00572E2C"/>
    <w:rsid w:val="00572E8F"/>
    <w:rsid w:val="00573010"/>
    <w:rsid w:val="00573374"/>
    <w:rsid w:val="00573A7C"/>
    <w:rsid w:val="005746DE"/>
    <w:rsid w:val="00574A8A"/>
    <w:rsid w:val="00574EB0"/>
    <w:rsid w:val="00576576"/>
    <w:rsid w:val="005765FB"/>
    <w:rsid w:val="00576B37"/>
    <w:rsid w:val="00576F2E"/>
    <w:rsid w:val="005770BE"/>
    <w:rsid w:val="00577BE2"/>
    <w:rsid w:val="0058040C"/>
    <w:rsid w:val="0058049C"/>
    <w:rsid w:val="00581795"/>
    <w:rsid w:val="00582CA5"/>
    <w:rsid w:val="0058368C"/>
    <w:rsid w:val="0058529A"/>
    <w:rsid w:val="0058696E"/>
    <w:rsid w:val="005870DA"/>
    <w:rsid w:val="00587AEE"/>
    <w:rsid w:val="00590BAC"/>
    <w:rsid w:val="005913FB"/>
    <w:rsid w:val="005914BD"/>
    <w:rsid w:val="00591BE8"/>
    <w:rsid w:val="00592AAE"/>
    <w:rsid w:val="00594539"/>
    <w:rsid w:val="00594601"/>
    <w:rsid w:val="00594A94"/>
    <w:rsid w:val="00595E4A"/>
    <w:rsid w:val="00597702"/>
    <w:rsid w:val="005A2ED1"/>
    <w:rsid w:val="005A46E9"/>
    <w:rsid w:val="005A475E"/>
    <w:rsid w:val="005A5294"/>
    <w:rsid w:val="005A5CE3"/>
    <w:rsid w:val="005A6823"/>
    <w:rsid w:val="005A6C03"/>
    <w:rsid w:val="005A7B77"/>
    <w:rsid w:val="005B12BF"/>
    <w:rsid w:val="005B2BA9"/>
    <w:rsid w:val="005B3307"/>
    <w:rsid w:val="005B36CE"/>
    <w:rsid w:val="005B4332"/>
    <w:rsid w:val="005B4981"/>
    <w:rsid w:val="005B4A10"/>
    <w:rsid w:val="005B536C"/>
    <w:rsid w:val="005B5C87"/>
    <w:rsid w:val="005B7C28"/>
    <w:rsid w:val="005C0394"/>
    <w:rsid w:val="005C04C7"/>
    <w:rsid w:val="005C05B0"/>
    <w:rsid w:val="005C0BF0"/>
    <w:rsid w:val="005C173E"/>
    <w:rsid w:val="005C22A0"/>
    <w:rsid w:val="005C24D2"/>
    <w:rsid w:val="005C30E0"/>
    <w:rsid w:val="005C38F7"/>
    <w:rsid w:val="005C4730"/>
    <w:rsid w:val="005C6855"/>
    <w:rsid w:val="005C6875"/>
    <w:rsid w:val="005D0000"/>
    <w:rsid w:val="005D049C"/>
    <w:rsid w:val="005D211B"/>
    <w:rsid w:val="005D28F9"/>
    <w:rsid w:val="005D4643"/>
    <w:rsid w:val="005D52C3"/>
    <w:rsid w:val="005D672B"/>
    <w:rsid w:val="005D7AA7"/>
    <w:rsid w:val="005E08E9"/>
    <w:rsid w:val="005E1362"/>
    <w:rsid w:val="005E1397"/>
    <w:rsid w:val="005E18DE"/>
    <w:rsid w:val="005E2041"/>
    <w:rsid w:val="005E2769"/>
    <w:rsid w:val="005E3D21"/>
    <w:rsid w:val="005E4273"/>
    <w:rsid w:val="005E60BE"/>
    <w:rsid w:val="005E677D"/>
    <w:rsid w:val="005E6AFD"/>
    <w:rsid w:val="005E718E"/>
    <w:rsid w:val="005E7E9B"/>
    <w:rsid w:val="005F2230"/>
    <w:rsid w:val="005F22E4"/>
    <w:rsid w:val="005F3143"/>
    <w:rsid w:val="005F3772"/>
    <w:rsid w:val="005F37F8"/>
    <w:rsid w:val="005F3CFB"/>
    <w:rsid w:val="005F482D"/>
    <w:rsid w:val="005F4A65"/>
    <w:rsid w:val="005F5F65"/>
    <w:rsid w:val="005F5F8B"/>
    <w:rsid w:val="005F6023"/>
    <w:rsid w:val="0060279F"/>
    <w:rsid w:val="00602AC2"/>
    <w:rsid w:val="006033E9"/>
    <w:rsid w:val="00603897"/>
    <w:rsid w:val="00603B30"/>
    <w:rsid w:val="00604408"/>
    <w:rsid w:val="00604A6D"/>
    <w:rsid w:val="00605878"/>
    <w:rsid w:val="006071CE"/>
    <w:rsid w:val="006103A9"/>
    <w:rsid w:val="00611B4D"/>
    <w:rsid w:val="00611F99"/>
    <w:rsid w:val="00612317"/>
    <w:rsid w:val="00612BEC"/>
    <w:rsid w:val="00613592"/>
    <w:rsid w:val="00613CE6"/>
    <w:rsid w:val="00614165"/>
    <w:rsid w:val="00614B89"/>
    <w:rsid w:val="00614E3F"/>
    <w:rsid w:val="00615147"/>
    <w:rsid w:val="006154F3"/>
    <w:rsid w:val="00621606"/>
    <w:rsid w:val="00621876"/>
    <w:rsid w:val="00622152"/>
    <w:rsid w:val="0062238D"/>
    <w:rsid w:val="0062471C"/>
    <w:rsid w:val="00630221"/>
    <w:rsid w:val="00630270"/>
    <w:rsid w:val="00630324"/>
    <w:rsid w:val="0063039D"/>
    <w:rsid w:val="006316FB"/>
    <w:rsid w:val="00632CD0"/>
    <w:rsid w:val="00632E6C"/>
    <w:rsid w:val="00632F72"/>
    <w:rsid w:val="00633BD5"/>
    <w:rsid w:val="00633E40"/>
    <w:rsid w:val="0063577D"/>
    <w:rsid w:val="00637083"/>
    <w:rsid w:val="00637439"/>
    <w:rsid w:val="00637D4D"/>
    <w:rsid w:val="00640BA3"/>
    <w:rsid w:val="00640C5F"/>
    <w:rsid w:val="00640F27"/>
    <w:rsid w:val="00643D25"/>
    <w:rsid w:val="00644222"/>
    <w:rsid w:val="006452F6"/>
    <w:rsid w:val="0064579B"/>
    <w:rsid w:val="0064707C"/>
    <w:rsid w:val="006472E0"/>
    <w:rsid w:val="006505C2"/>
    <w:rsid w:val="00650D3A"/>
    <w:rsid w:val="00651B27"/>
    <w:rsid w:val="006537A2"/>
    <w:rsid w:val="00655520"/>
    <w:rsid w:val="00655953"/>
    <w:rsid w:val="00655CAB"/>
    <w:rsid w:val="00656038"/>
    <w:rsid w:val="00656230"/>
    <w:rsid w:val="006569D1"/>
    <w:rsid w:val="006577E7"/>
    <w:rsid w:val="006600FC"/>
    <w:rsid w:val="00660F71"/>
    <w:rsid w:val="00661786"/>
    <w:rsid w:val="00663417"/>
    <w:rsid w:val="0066409A"/>
    <w:rsid w:val="00665D03"/>
    <w:rsid w:val="00665E14"/>
    <w:rsid w:val="00666388"/>
    <w:rsid w:val="00666DBB"/>
    <w:rsid w:val="00667E46"/>
    <w:rsid w:val="00670C68"/>
    <w:rsid w:val="006713D5"/>
    <w:rsid w:val="00671F48"/>
    <w:rsid w:val="00671F7A"/>
    <w:rsid w:val="00672C83"/>
    <w:rsid w:val="0067519F"/>
    <w:rsid w:val="00675922"/>
    <w:rsid w:val="0067638D"/>
    <w:rsid w:val="00676F96"/>
    <w:rsid w:val="0067732F"/>
    <w:rsid w:val="00680D64"/>
    <w:rsid w:val="006815A1"/>
    <w:rsid w:val="0068170B"/>
    <w:rsid w:val="006824F4"/>
    <w:rsid w:val="00683254"/>
    <w:rsid w:val="00683AC0"/>
    <w:rsid w:val="006859FF"/>
    <w:rsid w:val="0068618B"/>
    <w:rsid w:val="00687156"/>
    <w:rsid w:val="006872CD"/>
    <w:rsid w:val="0068774A"/>
    <w:rsid w:val="006910B6"/>
    <w:rsid w:val="0069446B"/>
    <w:rsid w:val="00694580"/>
    <w:rsid w:val="00694CBE"/>
    <w:rsid w:val="00695DE2"/>
    <w:rsid w:val="00697D63"/>
    <w:rsid w:val="00697F9B"/>
    <w:rsid w:val="006A08B7"/>
    <w:rsid w:val="006A14E9"/>
    <w:rsid w:val="006A1979"/>
    <w:rsid w:val="006A231E"/>
    <w:rsid w:val="006A38B7"/>
    <w:rsid w:val="006A6051"/>
    <w:rsid w:val="006A6799"/>
    <w:rsid w:val="006A69F1"/>
    <w:rsid w:val="006A798B"/>
    <w:rsid w:val="006B0C78"/>
    <w:rsid w:val="006B112B"/>
    <w:rsid w:val="006B286B"/>
    <w:rsid w:val="006B2889"/>
    <w:rsid w:val="006B2C3E"/>
    <w:rsid w:val="006B4788"/>
    <w:rsid w:val="006B579A"/>
    <w:rsid w:val="006B5F29"/>
    <w:rsid w:val="006B675C"/>
    <w:rsid w:val="006B6D17"/>
    <w:rsid w:val="006B6ED4"/>
    <w:rsid w:val="006B74E2"/>
    <w:rsid w:val="006C05E4"/>
    <w:rsid w:val="006C1884"/>
    <w:rsid w:val="006C24D0"/>
    <w:rsid w:val="006C2CFC"/>
    <w:rsid w:val="006C3B64"/>
    <w:rsid w:val="006C447D"/>
    <w:rsid w:val="006C5222"/>
    <w:rsid w:val="006C52DC"/>
    <w:rsid w:val="006C53D8"/>
    <w:rsid w:val="006C561A"/>
    <w:rsid w:val="006C60BD"/>
    <w:rsid w:val="006C7347"/>
    <w:rsid w:val="006C78C6"/>
    <w:rsid w:val="006C7BDB"/>
    <w:rsid w:val="006D1AB6"/>
    <w:rsid w:val="006D1EE9"/>
    <w:rsid w:val="006D1F57"/>
    <w:rsid w:val="006D29E3"/>
    <w:rsid w:val="006D30B7"/>
    <w:rsid w:val="006D426C"/>
    <w:rsid w:val="006D4AB8"/>
    <w:rsid w:val="006D7417"/>
    <w:rsid w:val="006E33AE"/>
    <w:rsid w:val="006E3D9B"/>
    <w:rsid w:val="006E4117"/>
    <w:rsid w:val="006E6B48"/>
    <w:rsid w:val="006E6BC1"/>
    <w:rsid w:val="006E77AD"/>
    <w:rsid w:val="006E7BEF"/>
    <w:rsid w:val="006F0325"/>
    <w:rsid w:val="006F04FB"/>
    <w:rsid w:val="006F0E4E"/>
    <w:rsid w:val="006F0EB0"/>
    <w:rsid w:val="006F1AC8"/>
    <w:rsid w:val="006F25DF"/>
    <w:rsid w:val="006F2811"/>
    <w:rsid w:val="006F304E"/>
    <w:rsid w:val="006F3C73"/>
    <w:rsid w:val="006F3FC6"/>
    <w:rsid w:val="006F414E"/>
    <w:rsid w:val="006F43A4"/>
    <w:rsid w:val="006F4A93"/>
    <w:rsid w:val="006F5240"/>
    <w:rsid w:val="006F59DA"/>
    <w:rsid w:val="006F639B"/>
    <w:rsid w:val="006F77D3"/>
    <w:rsid w:val="006F7DA2"/>
    <w:rsid w:val="006F7F4A"/>
    <w:rsid w:val="007004CE"/>
    <w:rsid w:val="00701054"/>
    <w:rsid w:val="007026F1"/>
    <w:rsid w:val="007034A2"/>
    <w:rsid w:val="00704494"/>
    <w:rsid w:val="0070731F"/>
    <w:rsid w:val="00712CCA"/>
    <w:rsid w:val="00713A23"/>
    <w:rsid w:val="00714870"/>
    <w:rsid w:val="00714C75"/>
    <w:rsid w:val="0071552D"/>
    <w:rsid w:val="00715898"/>
    <w:rsid w:val="007162B8"/>
    <w:rsid w:val="00716CD8"/>
    <w:rsid w:val="00716D02"/>
    <w:rsid w:val="00717035"/>
    <w:rsid w:val="007173DC"/>
    <w:rsid w:val="0072019C"/>
    <w:rsid w:val="00720F14"/>
    <w:rsid w:val="0072326D"/>
    <w:rsid w:val="007237C1"/>
    <w:rsid w:val="007250E6"/>
    <w:rsid w:val="0072585F"/>
    <w:rsid w:val="00725C79"/>
    <w:rsid w:val="007277BB"/>
    <w:rsid w:val="0073188C"/>
    <w:rsid w:val="00732E72"/>
    <w:rsid w:val="007336A4"/>
    <w:rsid w:val="00733855"/>
    <w:rsid w:val="00734ECF"/>
    <w:rsid w:val="00735B1D"/>
    <w:rsid w:val="00736829"/>
    <w:rsid w:val="00737D5C"/>
    <w:rsid w:val="007430BF"/>
    <w:rsid w:val="0074367D"/>
    <w:rsid w:val="00743B07"/>
    <w:rsid w:val="00743BD6"/>
    <w:rsid w:val="00744A05"/>
    <w:rsid w:val="00745AC9"/>
    <w:rsid w:val="007471E5"/>
    <w:rsid w:val="00747AC5"/>
    <w:rsid w:val="00750284"/>
    <w:rsid w:val="007503D3"/>
    <w:rsid w:val="00750410"/>
    <w:rsid w:val="007508C5"/>
    <w:rsid w:val="00751533"/>
    <w:rsid w:val="00751C5E"/>
    <w:rsid w:val="00753635"/>
    <w:rsid w:val="0075450B"/>
    <w:rsid w:val="00754812"/>
    <w:rsid w:val="0075520D"/>
    <w:rsid w:val="0075523D"/>
    <w:rsid w:val="00755415"/>
    <w:rsid w:val="00755DBF"/>
    <w:rsid w:val="007570B7"/>
    <w:rsid w:val="0075734E"/>
    <w:rsid w:val="007573AA"/>
    <w:rsid w:val="00757EA0"/>
    <w:rsid w:val="0076027D"/>
    <w:rsid w:val="007604D0"/>
    <w:rsid w:val="00760AA5"/>
    <w:rsid w:val="00761270"/>
    <w:rsid w:val="00761DB0"/>
    <w:rsid w:val="00762483"/>
    <w:rsid w:val="00762969"/>
    <w:rsid w:val="00762BDC"/>
    <w:rsid w:val="00763E82"/>
    <w:rsid w:val="00764CEA"/>
    <w:rsid w:val="007653D3"/>
    <w:rsid w:val="00765640"/>
    <w:rsid w:val="00765E14"/>
    <w:rsid w:val="00766201"/>
    <w:rsid w:val="0076688F"/>
    <w:rsid w:val="00767D49"/>
    <w:rsid w:val="00770480"/>
    <w:rsid w:val="00770BBE"/>
    <w:rsid w:val="00771292"/>
    <w:rsid w:val="00772B08"/>
    <w:rsid w:val="00773D38"/>
    <w:rsid w:val="00773DC5"/>
    <w:rsid w:val="00774E49"/>
    <w:rsid w:val="00776559"/>
    <w:rsid w:val="00776CAE"/>
    <w:rsid w:val="00777894"/>
    <w:rsid w:val="00777AE3"/>
    <w:rsid w:val="00780048"/>
    <w:rsid w:val="00780591"/>
    <w:rsid w:val="0078134B"/>
    <w:rsid w:val="00781456"/>
    <w:rsid w:val="00781F61"/>
    <w:rsid w:val="0078209F"/>
    <w:rsid w:val="007843A2"/>
    <w:rsid w:val="00784FDE"/>
    <w:rsid w:val="0078631A"/>
    <w:rsid w:val="00792620"/>
    <w:rsid w:val="00793722"/>
    <w:rsid w:val="007941A7"/>
    <w:rsid w:val="007949FE"/>
    <w:rsid w:val="007957A7"/>
    <w:rsid w:val="00796D73"/>
    <w:rsid w:val="007972DF"/>
    <w:rsid w:val="007A0016"/>
    <w:rsid w:val="007A18BE"/>
    <w:rsid w:val="007A1E24"/>
    <w:rsid w:val="007A2259"/>
    <w:rsid w:val="007A2550"/>
    <w:rsid w:val="007A2C58"/>
    <w:rsid w:val="007A374D"/>
    <w:rsid w:val="007A3B2B"/>
    <w:rsid w:val="007B0094"/>
    <w:rsid w:val="007B1625"/>
    <w:rsid w:val="007B3233"/>
    <w:rsid w:val="007B3E79"/>
    <w:rsid w:val="007B4EC3"/>
    <w:rsid w:val="007B50F1"/>
    <w:rsid w:val="007B52B9"/>
    <w:rsid w:val="007B7765"/>
    <w:rsid w:val="007C071B"/>
    <w:rsid w:val="007C1DC1"/>
    <w:rsid w:val="007C21A0"/>
    <w:rsid w:val="007C239B"/>
    <w:rsid w:val="007C2682"/>
    <w:rsid w:val="007C3070"/>
    <w:rsid w:val="007C3DC8"/>
    <w:rsid w:val="007C4449"/>
    <w:rsid w:val="007C4A80"/>
    <w:rsid w:val="007C5A9F"/>
    <w:rsid w:val="007C5C9A"/>
    <w:rsid w:val="007C6A7C"/>
    <w:rsid w:val="007C78F3"/>
    <w:rsid w:val="007D081A"/>
    <w:rsid w:val="007D1AF9"/>
    <w:rsid w:val="007D3215"/>
    <w:rsid w:val="007D3F1A"/>
    <w:rsid w:val="007D42D2"/>
    <w:rsid w:val="007D459A"/>
    <w:rsid w:val="007D4D5C"/>
    <w:rsid w:val="007D5511"/>
    <w:rsid w:val="007D6001"/>
    <w:rsid w:val="007D662D"/>
    <w:rsid w:val="007E0169"/>
    <w:rsid w:val="007E0405"/>
    <w:rsid w:val="007E0655"/>
    <w:rsid w:val="007E0F11"/>
    <w:rsid w:val="007E3F90"/>
    <w:rsid w:val="007E438E"/>
    <w:rsid w:val="007E61D2"/>
    <w:rsid w:val="007E7407"/>
    <w:rsid w:val="007E7CDB"/>
    <w:rsid w:val="007F23E5"/>
    <w:rsid w:val="007F28F2"/>
    <w:rsid w:val="007F3CA3"/>
    <w:rsid w:val="007F4097"/>
    <w:rsid w:val="007F41E3"/>
    <w:rsid w:val="007F4EE0"/>
    <w:rsid w:val="007F50C7"/>
    <w:rsid w:val="007F549A"/>
    <w:rsid w:val="007F65AC"/>
    <w:rsid w:val="007F7DC1"/>
    <w:rsid w:val="00802EF9"/>
    <w:rsid w:val="0080302C"/>
    <w:rsid w:val="00804076"/>
    <w:rsid w:val="008045D8"/>
    <w:rsid w:val="008060C7"/>
    <w:rsid w:val="00807D3C"/>
    <w:rsid w:val="00807EC7"/>
    <w:rsid w:val="00810DEE"/>
    <w:rsid w:val="00811137"/>
    <w:rsid w:val="00811158"/>
    <w:rsid w:val="0081390B"/>
    <w:rsid w:val="00813F19"/>
    <w:rsid w:val="008141FF"/>
    <w:rsid w:val="008173AC"/>
    <w:rsid w:val="00817779"/>
    <w:rsid w:val="0082111E"/>
    <w:rsid w:val="0082126C"/>
    <w:rsid w:val="008214FB"/>
    <w:rsid w:val="00821A10"/>
    <w:rsid w:val="008236DF"/>
    <w:rsid w:val="008236FA"/>
    <w:rsid w:val="00823CD3"/>
    <w:rsid w:val="00823F70"/>
    <w:rsid w:val="008244DB"/>
    <w:rsid w:val="00824740"/>
    <w:rsid w:val="008267F4"/>
    <w:rsid w:val="00826DA5"/>
    <w:rsid w:val="00826FB1"/>
    <w:rsid w:val="0083251B"/>
    <w:rsid w:val="00834419"/>
    <w:rsid w:val="008346FB"/>
    <w:rsid w:val="00834B07"/>
    <w:rsid w:val="00835CA9"/>
    <w:rsid w:val="00836FF5"/>
    <w:rsid w:val="008379BA"/>
    <w:rsid w:val="00840548"/>
    <w:rsid w:val="00840BE1"/>
    <w:rsid w:val="008411E0"/>
    <w:rsid w:val="008421C3"/>
    <w:rsid w:val="008440A7"/>
    <w:rsid w:val="00845392"/>
    <w:rsid w:val="00845809"/>
    <w:rsid w:val="008462BD"/>
    <w:rsid w:val="00846583"/>
    <w:rsid w:val="00847A44"/>
    <w:rsid w:val="00850834"/>
    <w:rsid w:val="00850CA1"/>
    <w:rsid w:val="00851C59"/>
    <w:rsid w:val="00852BBA"/>
    <w:rsid w:val="00852D1F"/>
    <w:rsid w:val="008538E8"/>
    <w:rsid w:val="008547ED"/>
    <w:rsid w:val="00854BD5"/>
    <w:rsid w:val="00856168"/>
    <w:rsid w:val="00857690"/>
    <w:rsid w:val="00860CC9"/>
    <w:rsid w:val="00860FA5"/>
    <w:rsid w:val="008623D0"/>
    <w:rsid w:val="00864A5B"/>
    <w:rsid w:val="00866110"/>
    <w:rsid w:val="00866826"/>
    <w:rsid w:val="00867AC0"/>
    <w:rsid w:val="0087048B"/>
    <w:rsid w:val="0087073C"/>
    <w:rsid w:val="00871047"/>
    <w:rsid w:val="008727B7"/>
    <w:rsid w:val="008732FA"/>
    <w:rsid w:val="008735DF"/>
    <w:rsid w:val="00873707"/>
    <w:rsid w:val="008737FB"/>
    <w:rsid w:val="008747FC"/>
    <w:rsid w:val="00875D85"/>
    <w:rsid w:val="00875E47"/>
    <w:rsid w:val="0087680F"/>
    <w:rsid w:val="00877053"/>
    <w:rsid w:val="00880675"/>
    <w:rsid w:val="00881189"/>
    <w:rsid w:val="00881874"/>
    <w:rsid w:val="00881AD6"/>
    <w:rsid w:val="00881E6F"/>
    <w:rsid w:val="008832C5"/>
    <w:rsid w:val="00883600"/>
    <w:rsid w:val="0088391D"/>
    <w:rsid w:val="008839E0"/>
    <w:rsid w:val="00883BCF"/>
    <w:rsid w:val="00885613"/>
    <w:rsid w:val="008863EC"/>
    <w:rsid w:val="008875B8"/>
    <w:rsid w:val="008919D5"/>
    <w:rsid w:val="00892840"/>
    <w:rsid w:val="00892866"/>
    <w:rsid w:val="0089373E"/>
    <w:rsid w:val="00894CB7"/>
    <w:rsid w:val="008951F9"/>
    <w:rsid w:val="00897524"/>
    <w:rsid w:val="00897D16"/>
    <w:rsid w:val="008A255D"/>
    <w:rsid w:val="008A2BBA"/>
    <w:rsid w:val="008A2BCA"/>
    <w:rsid w:val="008A2CBD"/>
    <w:rsid w:val="008A3CB2"/>
    <w:rsid w:val="008A4A0B"/>
    <w:rsid w:val="008A4FE5"/>
    <w:rsid w:val="008A50B1"/>
    <w:rsid w:val="008A57FC"/>
    <w:rsid w:val="008A6809"/>
    <w:rsid w:val="008A718A"/>
    <w:rsid w:val="008A7D12"/>
    <w:rsid w:val="008B0025"/>
    <w:rsid w:val="008B076D"/>
    <w:rsid w:val="008B0E58"/>
    <w:rsid w:val="008B0ED7"/>
    <w:rsid w:val="008B2737"/>
    <w:rsid w:val="008B439C"/>
    <w:rsid w:val="008B6219"/>
    <w:rsid w:val="008B6523"/>
    <w:rsid w:val="008B680F"/>
    <w:rsid w:val="008B7EB8"/>
    <w:rsid w:val="008C44B3"/>
    <w:rsid w:val="008C554B"/>
    <w:rsid w:val="008C5D88"/>
    <w:rsid w:val="008C671F"/>
    <w:rsid w:val="008D1634"/>
    <w:rsid w:val="008D1919"/>
    <w:rsid w:val="008D2FF0"/>
    <w:rsid w:val="008D34AC"/>
    <w:rsid w:val="008D3585"/>
    <w:rsid w:val="008D392D"/>
    <w:rsid w:val="008D3C27"/>
    <w:rsid w:val="008D44EC"/>
    <w:rsid w:val="008D4CED"/>
    <w:rsid w:val="008D53FA"/>
    <w:rsid w:val="008D541C"/>
    <w:rsid w:val="008D703C"/>
    <w:rsid w:val="008D78FE"/>
    <w:rsid w:val="008E0351"/>
    <w:rsid w:val="008E1972"/>
    <w:rsid w:val="008E1C9D"/>
    <w:rsid w:val="008E265F"/>
    <w:rsid w:val="008E37D9"/>
    <w:rsid w:val="008E3DF5"/>
    <w:rsid w:val="008E4262"/>
    <w:rsid w:val="008E4761"/>
    <w:rsid w:val="008E511B"/>
    <w:rsid w:val="008E561F"/>
    <w:rsid w:val="008E6E33"/>
    <w:rsid w:val="008E7318"/>
    <w:rsid w:val="008E76A0"/>
    <w:rsid w:val="008E7CD6"/>
    <w:rsid w:val="008F028B"/>
    <w:rsid w:val="008F0AF4"/>
    <w:rsid w:val="008F1F37"/>
    <w:rsid w:val="008F35A2"/>
    <w:rsid w:val="008F36FC"/>
    <w:rsid w:val="008F3B3A"/>
    <w:rsid w:val="008F45F0"/>
    <w:rsid w:val="008F49DB"/>
    <w:rsid w:val="008F4A70"/>
    <w:rsid w:val="008F50CE"/>
    <w:rsid w:val="008F5EA8"/>
    <w:rsid w:val="008F6072"/>
    <w:rsid w:val="008F659F"/>
    <w:rsid w:val="00900972"/>
    <w:rsid w:val="00900A5E"/>
    <w:rsid w:val="00901186"/>
    <w:rsid w:val="009014F0"/>
    <w:rsid w:val="00901BC0"/>
    <w:rsid w:val="009025C0"/>
    <w:rsid w:val="00902758"/>
    <w:rsid w:val="009055AD"/>
    <w:rsid w:val="00906AE9"/>
    <w:rsid w:val="00907EB0"/>
    <w:rsid w:val="009105C0"/>
    <w:rsid w:val="0091215C"/>
    <w:rsid w:val="00912B1E"/>
    <w:rsid w:val="0091370A"/>
    <w:rsid w:val="00915886"/>
    <w:rsid w:val="009224FE"/>
    <w:rsid w:val="0092290D"/>
    <w:rsid w:val="00922F24"/>
    <w:rsid w:val="009231A4"/>
    <w:rsid w:val="00923382"/>
    <w:rsid w:val="00924236"/>
    <w:rsid w:val="00924AE6"/>
    <w:rsid w:val="0092502B"/>
    <w:rsid w:val="00925038"/>
    <w:rsid w:val="0092503D"/>
    <w:rsid w:val="0092574B"/>
    <w:rsid w:val="009258A6"/>
    <w:rsid w:val="00926062"/>
    <w:rsid w:val="00926F9A"/>
    <w:rsid w:val="0092701C"/>
    <w:rsid w:val="00930C91"/>
    <w:rsid w:val="009312B2"/>
    <w:rsid w:val="00932876"/>
    <w:rsid w:val="00932E19"/>
    <w:rsid w:val="009344EB"/>
    <w:rsid w:val="00934F17"/>
    <w:rsid w:val="00935B61"/>
    <w:rsid w:val="00936632"/>
    <w:rsid w:val="00940D57"/>
    <w:rsid w:val="009410AE"/>
    <w:rsid w:val="00941A25"/>
    <w:rsid w:val="00941FB9"/>
    <w:rsid w:val="00944D52"/>
    <w:rsid w:val="00950564"/>
    <w:rsid w:val="00952B98"/>
    <w:rsid w:val="00952E49"/>
    <w:rsid w:val="00953BE0"/>
    <w:rsid w:val="00954C96"/>
    <w:rsid w:val="009565D9"/>
    <w:rsid w:val="00957FF9"/>
    <w:rsid w:val="00960E73"/>
    <w:rsid w:val="00961115"/>
    <w:rsid w:val="0096134E"/>
    <w:rsid w:val="009615B1"/>
    <w:rsid w:val="00961F27"/>
    <w:rsid w:val="00962AD9"/>
    <w:rsid w:val="00962E70"/>
    <w:rsid w:val="009643D8"/>
    <w:rsid w:val="0096497C"/>
    <w:rsid w:val="00964DDE"/>
    <w:rsid w:val="0096549D"/>
    <w:rsid w:val="0096682B"/>
    <w:rsid w:val="00970E00"/>
    <w:rsid w:val="00971724"/>
    <w:rsid w:val="009717B6"/>
    <w:rsid w:val="00971BD0"/>
    <w:rsid w:val="00972044"/>
    <w:rsid w:val="00973460"/>
    <w:rsid w:val="0097393B"/>
    <w:rsid w:val="00974515"/>
    <w:rsid w:val="0097482A"/>
    <w:rsid w:val="00974E2D"/>
    <w:rsid w:val="009754E0"/>
    <w:rsid w:val="009757F2"/>
    <w:rsid w:val="009759A6"/>
    <w:rsid w:val="00975A77"/>
    <w:rsid w:val="00976CE4"/>
    <w:rsid w:val="00976ED7"/>
    <w:rsid w:val="009778F2"/>
    <w:rsid w:val="00977B1A"/>
    <w:rsid w:val="00977DD8"/>
    <w:rsid w:val="009817D0"/>
    <w:rsid w:val="00981CB8"/>
    <w:rsid w:val="00984583"/>
    <w:rsid w:val="009847C2"/>
    <w:rsid w:val="009848A5"/>
    <w:rsid w:val="009869D9"/>
    <w:rsid w:val="009871D7"/>
    <w:rsid w:val="00987C4D"/>
    <w:rsid w:val="00990882"/>
    <w:rsid w:val="0099140D"/>
    <w:rsid w:val="009932E3"/>
    <w:rsid w:val="00993BCC"/>
    <w:rsid w:val="00995111"/>
    <w:rsid w:val="00995381"/>
    <w:rsid w:val="00995A66"/>
    <w:rsid w:val="009A08C0"/>
    <w:rsid w:val="009A09A8"/>
    <w:rsid w:val="009A1E93"/>
    <w:rsid w:val="009A2320"/>
    <w:rsid w:val="009A2FA0"/>
    <w:rsid w:val="009A3157"/>
    <w:rsid w:val="009A3343"/>
    <w:rsid w:val="009A3D8E"/>
    <w:rsid w:val="009A414F"/>
    <w:rsid w:val="009A699D"/>
    <w:rsid w:val="009A7312"/>
    <w:rsid w:val="009B04FE"/>
    <w:rsid w:val="009B0B34"/>
    <w:rsid w:val="009B0CD4"/>
    <w:rsid w:val="009B2285"/>
    <w:rsid w:val="009B24A4"/>
    <w:rsid w:val="009B26CF"/>
    <w:rsid w:val="009B307C"/>
    <w:rsid w:val="009B3273"/>
    <w:rsid w:val="009B3350"/>
    <w:rsid w:val="009B3418"/>
    <w:rsid w:val="009B4E54"/>
    <w:rsid w:val="009B5A78"/>
    <w:rsid w:val="009B6F69"/>
    <w:rsid w:val="009C0BED"/>
    <w:rsid w:val="009C17DF"/>
    <w:rsid w:val="009C238D"/>
    <w:rsid w:val="009C2649"/>
    <w:rsid w:val="009C27A9"/>
    <w:rsid w:val="009C3659"/>
    <w:rsid w:val="009C57AB"/>
    <w:rsid w:val="009C65C4"/>
    <w:rsid w:val="009C6939"/>
    <w:rsid w:val="009C7050"/>
    <w:rsid w:val="009D02F5"/>
    <w:rsid w:val="009D1F35"/>
    <w:rsid w:val="009D276B"/>
    <w:rsid w:val="009D2C41"/>
    <w:rsid w:val="009D3CD6"/>
    <w:rsid w:val="009D74EB"/>
    <w:rsid w:val="009E0E5D"/>
    <w:rsid w:val="009E1404"/>
    <w:rsid w:val="009E1A0D"/>
    <w:rsid w:val="009E20EC"/>
    <w:rsid w:val="009E2B24"/>
    <w:rsid w:val="009E3879"/>
    <w:rsid w:val="009E48E8"/>
    <w:rsid w:val="009E5526"/>
    <w:rsid w:val="009E5E1D"/>
    <w:rsid w:val="009E60AC"/>
    <w:rsid w:val="009E6731"/>
    <w:rsid w:val="009E700D"/>
    <w:rsid w:val="009E731D"/>
    <w:rsid w:val="009F01A7"/>
    <w:rsid w:val="009F0519"/>
    <w:rsid w:val="009F05BB"/>
    <w:rsid w:val="009F2FFF"/>
    <w:rsid w:val="009F3068"/>
    <w:rsid w:val="009F5956"/>
    <w:rsid w:val="009F5F80"/>
    <w:rsid w:val="009F69C4"/>
    <w:rsid w:val="009F6D80"/>
    <w:rsid w:val="009F7202"/>
    <w:rsid w:val="009F773C"/>
    <w:rsid w:val="009F79F3"/>
    <w:rsid w:val="00A00F02"/>
    <w:rsid w:val="00A013F8"/>
    <w:rsid w:val="00A02246"/>
    <w:rsid w:val="00A02590"/>
    <w:rsid w:val="00A02D4A"/>
    <w:rsid w:val="00A031E0"/>
    <w:rsid w:val="00A03FC3"/>
    <w:rsid w:val="00A05614"/>
    <w:rsid w:val="00A06F96"/>
    <w:rsid w:val="00A077ED"/>
    <w:rsid w:val="00A07FEF"/>
    <w:rsid w:val="00A10930"/>
    <w:rsid w:val="00A10A84"/>
    <w:rsid w:val="00A10EAD"/>
    <w:rsid w:val="00A11318"/>
    <w:rsid w:val="00A129C0"/>
    <w:rsid w:val="00A146FC"/>
    <w:rsid w:val="00A15314"/>
    <w:rsid w:val="00A15B3D"/>
    <w:rsid w:val="00A15DEF"/>
    <w:rsid w:val="00A1685D"/>
    <w:rsid w:val="00A16E1B"/>
    <w:rsid w:val="00A178D5"/>
    <w:rsid w:val="00A17E8F"/>
    <w:rsid w:val="00A20301"/>
    <w:rsid w:val="00A211CD"/>
    <w:rsid w:val="00A2181D"/>
    <w:rsid w:val="00A2315D"/>
    <w:rsid w:val="00A23705"/>
    <w:rsid w:val="00A24ACF"/>
    <w:rsid w:val="00A25316"/>
    <w:rsid w:val="00A25686"/>
    <w:rsid w:val="00A25FC8"/>
    <w:rsid w:val="00A26510"/>
    <w:rsid w:val="00A2683F"/>
    <w:rsid w:val="00A26A31"/>
    <w:rsid w:val="00A27494"/>
    <w:rsid w:val="00A276C8"/>
    <w:rsid w:val="00A27BE0"/>
    <w:rsid w:val="00A3052F"/>
    <w:rsid w:val="00A31360"/>
    <w:rsid w:val="00A32624"/>
    <w:rsid w:val="00A33A72"/>
    <w:rsid w:val="00A34178"/>
    <w:rsid w:val="00A357B7"/>
    <w:rsid w:val="00A3714B"/>
    <w:rsid w:val="00A40A6D"/>
    <w:rsid w:val="00A40F95"/>
    <w:rsid w:val="00A42ADD"/>
    <w:rsid w:val="00A4686E"/>
    <w:rsid w:val="00A475D9"/>
    <w:rsid w:val="00A47A8E"/>
    <w:rsid w:val="00A50356"/>
    <w:rsid w:val="00A50EA7"/>
    <w:rsid w:val="00A511B2"/>
    <w:rsid w:val="00A516E0"/>
    <w:rsid w:val="00A53637"/>
    <w:rsid w:val="00A55053"/>
    <w:rsid w:val="00A55230"/>
    <w:rsid w:val="00A555CD"/>
    <w:rsid w:val="00A56268"/>
    <w:rsid w:val="00A566D6"/>
    <w:rsid w:val="00A567A6"/>
    <w:rsid w:val="00A57440"/>
    <w:rsid w:val="00A609CF"/>
    <w:rsid w:val="00A60A17"/>
    <w:rsid w:val="00A6484D"/>
    <w:rsid w:val="00A6515A"/>
    <w:rsid w:val="00A6548D"/>
    <w:rsid w:val="00A65D26"/>
    <w:rsid w:val="00A660BB"/>
    <w:rsid w:val="00A66958"/>
    <w:rsid w:val="00A66FD7"/>
    <w:rsid w:val="00A67B85"/>
    <w:rsid w:val="00A70B62"/>
    <w:rsid w:val="00A7240E"/>
    <w:rsid w:val="00A7260D"/>
    <w:rsid w:val="00A73185"/>
    <w:rsid w:val="00A7594B"/>
    <w:rsid w:val="00A75EB7"/>
    <w:rsid w:val="00A75F3A"/>
    <w:rsid w:val="00A7627C"/>
    <w:rsid w:val="00A773CD"/>
    <w:rsid w:val="00A778E1"/>
    <w:rsid w:val="00A81D7B"/>
    <w:rsid w:val="00A86832"/>
    <w:rsid w:val="00A86CFA"/>
    <w:rsid w:val="00A87ABA"/>
    <w:rsid w:val="00A9069C"/>
    <w:rsid w:val="00A90719"/>
    <w:rsid w:val="00A91035"/>
    <w:rsid w:val="00A91809"/>
    <w:rsid w:val="00A91F06"/>
    <w:rsid w:val="00A92259"/>
    <w:rsid w:val="00A92FF5"/>
    <w:rsid w:val="00A9320E"/>
    <w:rsid w:val="00A9363C"/>
    <w:rsid w:val="00A948DA"/>
    <w:rsid w:val="00A94DD5"/>
    <w:rsid w:val="00A9542B"/>
    <w:rsid w:val="00A95BD8"/>
    <w:rsid w:val="00A9604C"/>
    <w:rsid w:val="00A971CD"/>
    <w:rsid w:val="00AA0B38"/>
    <w:rsid w:val="00AA15D5"/>
    <w:rsid w:val="00AA1A1B"/>
    <w:rsid w:val="00AA33E4"/>
    <w:rsid w:val="00AA3513"/>
    <w:rsid w:val="00AA3D74"/>
    <w:rsid w:val="00AA4571"/>
    <w:rsid w:val="00AA667C"/>
    <w:rsid w:val="00AA6D07"/>
    <w:rsid w:val="00AB045E"/>
    <w:rsid w:val="00AB0C61"/>
    <w:rsid w:val="00AB1173"/>
    <w:rsid w:val="00AB2ED9"/>
    <w:rsid w:val="00AB306B"/>
    <w:rsid w:val="00AB4090"/>
    <w:rsid w:val="00AB42ED"/>
    <w:rsid w:val="00AB49C4"/>
    <w:rsid w:val="00AB51EC"/>
    <w:rsid w:val="00AB6080"/>
    <w:rsid w:val="00AB61A9"/>
    <w:rsid w:val="00AB63F0"/>
    <w:rsid w:val="00AB6CC8"/>
    <w:rsid w:val="00AC0495"/>
    <w:rsid w:val="00AC366C"/>
    <w:rsid w:val="00AC4B7F"/>
    <w:rsid w:val="00AC4FA5"/>
    <w:rsid w:val="00AD00D4"/>
    <w:rsid w:val="00AD0586"/>
    <w:rsid w:val="00AD06E5"/>
    <w:rsid w:val="00AD1A8D"/>
    <w:rsid w:val="00AD54D1"/>
    <w:rsid w:val="00AD55EA"/>
    <w:rsid w:val="00AD630A"/>
    <w:rsid w:val="00AD646C"/>
    <w:rsid w:val="00AD66F1"/>
    <w:rsid w:val="00AD7D26"/>
    <w:rsid w:val="00AE14ED"/>
    <w:rsid w:val="00AE3106"/>
    <w:rsid w:val="00AE3ADE"/>
    <w:rsid w:val="00AE4652"/>
    <w:rsid w:val="00AE487D"/>
    <w:rsid w:val="00AE4A9E"/>
    <w:rsid w:val="00AE56C1"/>
    <w:rsid w:val="00AE5B70"/>
    <w:rsid w:val="00AE6B66"/>
    <w:rsid w:val="00AF000C"/>
    <w:rsid w:val="00AF038F"/>
    <w:rsid w:val="00AF05AB"/>
    <w:rsid w:val="00AF4490"/>
    <w:rsid w:val="00AF4FC1"/>
    <w:rsid w:val="00AF504D"/>
    <w:rsid w:val="00AF50B2"/>
    <w:rsid w:val="00AF51DF"/>
    <w:rsid w:val="00AF52D4"/>
    <w:rsid w:val="00AF52E9"/>
    <w:rsid w:val="00AF5917"/>
    <w:rsid w:val="00AF6C4F"/>
    <w:rsid w:val="00AF6EC4"/>
    <w:rsid w:val="00B01337"/>
    <w:rsid w:val="00B01655"/>
    <w:rsid w:val="00B0293C"/>
    <w:rsid w:val="00B02ACF"/>
    <w:rsid w:val="00B04348"/>
    <w:rsid w:val="00B058A2"/>
    <w:rsid w:val="00B058FE"/>
    <w:rsid w:val="00B05B53"/>
    <w:rsid w:val="00B06086"/>
    <w:rsid w:val="00B065CC"/>
    <w:rsid w:val="00B06655"/>
    <w:rsid w:val="00B06FD5"/>
    <w:rsid w:val="00B070DC"/>
    <w:rsid w:val="00B07CB6"/>
    <w:rsid w:val="00B07DD9"/>
    <w:rsid w:val="00B109F3"/>
    <w:rsid w:val="00B12D9D"/>
    <w:rsid w:val="00B12EFA"/>
    <w:rsid w:val="00B160CC"/>
    <w:rsid w:val="00B164DF"/>
    <w:rsid w:val="00B166E9"/>
    <w:rsid w:val="00B2019C"/>
    <w:rsid w:val="00B22081"/>
    <w:rsid w:val="00B22B86"/>
    <w:rsid w:val="00B23338"/>
    <w:rsid w:val="00B24407"/>
    <w:rsid w:val="00B2490D"/>
    <w:rsid w:val="00B24D58"/>
    <w:rsid w:val="00B25C59"/>
    <w:rsid w:val="00B2601A"/>
    <w:rsid w:val="00B31668"/>
    <w:rsid w:val="00B32032"/>
    <w:rsid w:val="00B335A9"/>
    <w:rsid w:val="00B34BEF"/>
    <w:rsid w:val="00B35706"/>
    <w:rsid w:val="00B35843"/>
    <w:rsid w:val="00B36B4A"/>
    <w:rsid w:val="00B36CA8"/>
    <w:rsid w:val="00B36D67"/>
    <w:rsid w:val="00B37D52"/>
    <w:rsid w:val="00B40C79"/>
    <w:rsid w:val="00B40F26"/>
    <w:rsid w:val="00B412CF"/>
    <w:rsid w:val="00B41F19"/>
    <w:rsid w:val="00B42859"/>
    <w:rsid w:val="00B4339D"/>
    <w:rsid w:val="00B43CB2"/>
    <w:rsid w:val="00B44BC2"/>
    <w:rsid w:val="00B44DDB"/>
    <w:rsid w:val="00B4586C"/>
    <w:rsid w:val="00B4602C"/>
    <w:rsid w:val="00B47228"/>
    <w:rsid w:val="00B47A64"/>
    <w:rsid w:val="00B53167"/>
    <w:rsid w:val="00B54A80"/>
    <w:rsid w:val="00B557B5"/>
    <w:rsid w:val="00B562C0"/>
    <w:rsid w:val="00B5682D"/>
    <w:rsid w:val="00B56A7E"/>
    <w:rsid w:val="00B570EC"/>
    <w:rsid w:val="00B602B4"/>
    <w:rsid w:val="00B607D7"/>
    <w:rsid w:val="00B61854"/>
    <w:rsid w:val="00B619AE"/>
    <w:rsid w:val="00B62C99"/>
    <w:rsid w:val="00B647EF"/>
    <w:rsid w:val="00B65281"/>
    <w:rsid w:val="00B67317"/>
    <w:rsid w:val="00B70469"/>
    <w:rsid w:val="00B70588"/>
    <w:rsid w:val="00B72A8B"/>
    <w:rsid w:val="00B72D6B"/>
    <w:rsid w:val="00B73728"/>
    <w:rsid w:val="00B750D5"/>
    <w:rsid w:val="00B7639E"/>
    <w:rsid w:val="00B77E8D"/>
    <w:rsid w:val="00B77FD9"/>
    <w:rsid w:val="00B802C1"/>
    <w:rsid w:val="00B80EE1"/>
    <w:rsid w:val="00B82548"/>
    <w:rsid w:val="00B83003"/>
    <w:rsid w:val="00B84325"/>
    <w:rsid w:val="00B85CF1"/>
    <w:rsid w:val="00B878DD"/>
    <w:rsid w:val="00B903E1"/>
    <w:rsid w:val="00B914AF"/>
    <w:rsid w:val="00B93CA7"/>
    <w:rsid w:val="00B94157"/>
    <w:rsid w:val="00B94A3F"/>
    <w:rsid w:val="00B94DA1"/>
    <w:rsid w:val="00B96231"/>
    <w:rsid w:val="00BA0DBD"/>
    <w:rsid w:val="00BA158C"/>
    <w:rsid w:val="00BA1B32"/>
    <w:rsid w:val="00BA1DD1"/>
    <w:rsid w:val="00BA2A87"/>
    <w:rsid w:val="00BA3740"/>
    <w:rsid w:val="00BA3EFC"/>
    <w:rsid w:val="00BA415D"/>
    <w:rsid w:val="00BA52ED"/>
    <w:rsid w:val="00BA6B86"/>
    <w:rsid w:val="00BA7152"/>
    <w:rsid w:val="00BA77AB"/>
    <w:rsid w:val="00BB1472"/>
    <w:rsid w:val="00BB1797"/>
    <w:rsid w:val="00BB2B53"/>
    <w:rsid w:val="00BB375C"/>
    <w:rsid w:val="00BB4B7F"/>
    <w:rsid w:val="00BB545D"/>
    <w:rsid w:val="00BB5DEE"/>
    <w:rsid w:val="00BC0492"/>
    <w:rsid w:val="00BC0E06"/>
    <w:rsid w:val="00BC1CDC"/>
    <w:rsid w:val="00BC2296"/>
    <w:rsid w:val="00BC37C0"/>
    <w:rsid w:val="00BC47AC"/>
    <w:rsid w:val="00BC5A62"/>
    <w:rsid w:val="00BC6016"/>
    <w:rsid w:val="00BC6574"/>
    <w:rsid w:val="00BC6775"/>
    <w:rsid w:val="00BC679D"/>
    <w:rsid w:val="00BD00C5"/>
    <w:rsid w:val="00BD1338"/>
    <w:rsid w:val="00BD1724"/>
    <w:rsid w:val="00BD1DDD"/>
    <w:rsid w:val="00BD3707"/>
    <w:rsid w:val="00BD52EE"/>
    <w:rsid w:val="00BD5A7B"/>
    <w:rsid w:val="00BD783F"/>
    <w:rsid w:val="00BE04AE"/>
    <w:rsid w:val="00BE091C"/>
    <w:rsid w:val="00BE10BB"/>
    <w:rsid w:val="00BE1407"/>
    <w:rsid w:val="00BE1C6E"/>
    <w:rsid w:val="00BE22EF"/>
    <w:rsid w:val="00BE2529"/>
    <w:rsid w:val="00BE266C"/>
    <w:rsid w:val="00BE27A8"/>
    <w:rsid w:val="00BE3581"/>
    <w:rsid w:val="00BE4D52"/>
    <w:rsid w:val="00BE4D68"/>
    <w:rsid w:val="00BE501D"/>
    <w:rsid w:val="00BE6455"/>
    <w:rsid w:val="00BE68BE"/>
    <w:rsid w:val="00BF062B"/>
    <w:rsid w:val="00BF2053"/>
    <w:rsid w:val="00BF2891"/>
    <w:rsid w:val="00BF2A98"/>
    <w:rsid w:val="00BF33E7"/>
    <w:rsid w:val="00BF3B33"/>
    <w:rsid w:val="00BF4219"/>
    <w:rsid w:val="00BF4569"/>
    <w:rsid w:val="00BF4606"/>
    <w:rsid w:val="00BF5B55"/>
    <w:rsid w:val="00BF7B07"/>
    <w:rsid w:val="00C005C5"/>
    <w:rsid w:val="00C00652"/>
    <w:rsid w:val="00C01C61"/>
    <w:rsid w:val="00C03428"/>
    <w:rsid w:val="00C0354F"/>
    <w:rsid w:val="00C0378E"/>
    <w:rsid w:val="00C04AFE"/>
    <w:rsid w:val="00C04F8C"/>
    <w:rsid w:val="00C052BC"/>
    <w:rsid w:val="00C05DBD"/>
    <w:rsid w:val="00C06037"/>
    <w:rsid w:val="00C0655F"/>
    <w:rsid w:val="00C06A73"/>
    <w:rsid w:val="00C06AA0"/>
    <w:rsid w:val="00C07098"/>
    <w:rsid w:val="00C07A82"/>
    <w:rsid w:val="00C10A3C"/>
    <w:rsid w:val="00C10B80"/>
    <w:rsid w:val="00C10EDE"/>
    <w:rsid w:val="00C11162"/>
    <w:rsid w:val="00C13372"/>
    <w:rsid w:val="00C13780"/>
    <w:rsid w:val="00C13C23"/>
    <w:rsid w:val="00C145AF"/>
    <w:rsid w:val="00C152BF"/>
    <w:rsid w:val="00C16F55"/>
    <w:rsid w:val="00C17B3F"/>
    <w:rsid w:val="00C20EA8"/>
    <w:rsid w:val="00C2152A"/>
    <w:rsid w:val="00C21851"/>
    <w:rsid w:val="00C22A1A"/>
    <w:rsid w:val="00C2348F"/>
    <w:rsid w:val="00C23B70"/>
    <w:rsid w:val="00C2525B"/>
    <w:rsid w:val="00C26F93"/>
    <w:rsid w:val="00C277DC"/>
    <w:rsid w:val="00C3023A"/>
    <w:rsid w:val="00C30749"/>
    <w:rsid w:val="00C3195D"/>
    <w:rsid w:val="00C33E1A"/>
    <w:rsid w:val="00C341E3"/>
    <w:rsid w:val="00C34217"/>
    <w:rsid w:val="00C36DF0"/>
    <w:rsid w:val="00C36EE6"/>
    <w:rsid w:val="00C36FCE"/>
    <w:rsid w:val="00C37055"/>
    <w:rsid w:val="00C40E9D"/>
    <w:rsid w:val="00C414BC"/>
    <w:rsid w:val="00C414BE"/>
    <w:rsid w:val="00C417D4"/>
    <w:rsid w:val="00C41B96"/>
    <w:rsid w:val="00C42147"/>
    <w:rsid w:val="00C429F1"/>
    <w:rsid w:val="00C43B81"/>
    <w:rsid w:val="00C440F4"/>
    <w:rsid w:val="00C44459"/>
    <w:rsid w:val="00C4550E"/>
    <w:rsid w:val="00C46707"/>
    <w:rsid w:val="00C47F21"/>
    <w:rsid w:val="00C506A5"/>
    <w:rsid w:val="00C50D9E"/>
    <w:rsid w:val="00C51CBF"/>
    <w:rsid w:val="00C55260"/>
    <w:rsid w:val="00C5648C"/>
    <w:rsid w:val="00C572DF"/>
    <w:rsid w:val="00C57354"/>
    <w:rsid w:val="00C60295"/>
    <w:rsid w:val="00C6090E"/>
    <w:rsid w:val="00C61C9E"/>
    <w:rsid w:val="00C61F4D"/>
    <w:rsid w:val="00C63FC2"/>
    <w:rsid w:val="00C64297"/>
    <w:rsid w:val="00C64EF5"/>
    <w:rsid w:val="00C6501E"/>
    <w:rsid w:val="00C65721"/>
    <w:rsid w:val="00C66439"/>
    <w:rsid w:val="00C66A0A"/>
    <w:rsid w:val="00C679FB"/>
    <w:rsid w:val="00C7028D"/>
    <w:rsid w:val="00C708D0"/>
    <w:rsid w:val="00C70C8A"/>
    <w:rsid w:val="00C714C5"/>
    <w:rsid w:val="00C71593"/>
    <w:rsid w:val="00C72452"/>
    <w:rsid w:val="00C731B5"/>
    <w:rsid w:val="00C73218"/>
    <w:rsid w:val="00C7338E"/>
    <w:rsid w:val="00C77226"/>
    <w:rsid w:val="00C80CD6"/>
    <w:rsid w:val="00C81402"/>
    <w:rsid w:val="00C82C8C"/>
    <w:rsid w:val="00C82C9D"/>
    <w:rsid w:val="00C85166"/>
    <w:rsid w:val="00C85A31"/>
    <w:rsid w:val="00C8675F"/>
    <w:rsid w:val="00C876CD"/>
    <w:rsid w:val="00C900B4"/>
    <w:rsid w:val="00C927D8"/>
    <w:rsid w:val="00C92A4B"/>
    <w:rsid w:val="00C96ED5"/>
    <w:rsid w:val="00C96F4A"/>
    <w:rsid w:val="00CA0682"/>
    <w:rsid w:val="00CA3C91"/>
    <w:rsid w:val="00CA3E92"/>
    <w:rsid w:val="00CA4220"/>
    <w:rsid w:val="00CA5689"/>
    <w:rsid w:val="00CA633B"/>
    <w:rsid w:val="00CA6AFE"/>
    <w:rsid w:val="00CA7F2C"/>
    <w:rsid w:val="00CB04E6"/>
    <w:rsid w:val="00CB1B21"/>
    <w:rsid w:val="00CB1F81"/>
    <w:rsid w:val="00CB216A"/>
    <w:rsid w:val="00CB2D94"/>
    <w:rsid w:val="00CB4D1E"/>
    <w:rsid w:val="00CB50D9"/>
    <w:rsid w:val="00CB65EE"/>
    <w:rsid w:val="00CC1FE7"/>
    <w:rsid w:val="00CC2D5C"/>
    <w:rsid w:val="00CC3AD7"/>
    <w:rsid w:val="00CC407A"/>
    <w:rsid w:val="00CD04D6"/>
    <w:rsid w:val="00CD0545"/>
    <w:rsid w:val="00CD0EF3"/>
    <w:rsid w:val="00CD4432"/>
    <w:rsid w:val="00CD4434"/>
    <w:rsid w:val="00CD44F6"/>
    <w:rsid w:val="00CD4D14"/>
    <w:rsid w:val="00CD636E"/>
    <w:rsid w:val="00CD6ADA"/>
    <w:rsid w:val="00CD6C7F"/>
    <w:rsid w:val="00CD7114"/>
    <w:rsid w:val="00CD7B46"/>
    <w:rsid w:val="00CD7B82"/>
    <w:rsid w:val="00CE162A"/>
    <w:rsid w:val="00CE2190"/>
    <w:rsid w:val="00CE29A4"/>
    <w:rsid w:val="00CE475B"/>
    <w:rsid w:val="00CE52B1"/>
    <w:rsid w:val="00CE566A"/>
    <w:rsid w:val="00CE581E"/>
    <w:rsid w:val="00CE6704"/>
    <w:rsid w:val="00CE6FE6"/>
    <w:rsid w:val="00CF0138"/>
    <w:rsid w:val="00CF15E4"/>
    <w:rsid w:val="00CF2BFE"/>
    <w:rsid w:val="00CF3301"/>
    <w:rsid w:val="00CF340C"/>
    <w:rsid w:val="00CF383A"/>
    <w:rsid w:val="00D00080"/>
    <w:rsid w:val="00D00288"/>
    <w:rsid w:val="00D0301B"/>
    <w:rsid w:val="00D03506"/>
    <w:rsid w:val="00D04C00"/>
    <w:rsid w:val="00D0687B"/>
    <w:rsid w:val="00D103BE"/>
    <w:rsid w:val="00D1072D"/>
    <w:rsid w:val="00D10EF1"/>
    <w:rsid w:val="00D11E40"/>
    <w:rsid w:val="00D1305B"/>
    <w:rsid w:val="00D130AB"/>
    <w:rsid w:val="00D1339F"/>
    <w:rsid w:val="00D13B43"/>
    <w:rsid w:val="00D13E42"/>
    <w:rsid w:val="00D14BAB"/>
    <w:rsid w:val="00D15FFC"/>
    <w:rsid w:val="00D16B1B"/>
    <w:rsid w:val="00D16BA7"/>
    <w:rsid w:val="00D1796B"/>
    <w:rsid w:val="00D17D3E"/>
    <w:rsid w:val="00D204C0"/>
    <w:rsid w:val="00D218A2"/>
    <w:rsid w:val="00D22A04"/>
    <w:rsid w:val="00D22A36"/>
    <w:rsid w:val="00D22FC2"/>
    <w:rsid w:val="00D24ADB"/>
    <w:rsid w:val="00D27A25"/>
    <w:rsid w:val="00D27A79"/>
    <w:rsid w:val="00D3140B"/>
    <w:rsid w:val="00D3334E"/>
    <w:rsid w:val="00D33F43"/>
    <w:rsid w:val="00D34210"/>
    <w:rsid w:val="00D342A1"/>
    <w:rsid w:val="00D3455D"/>
    <w:rsid w:val="00D345C8"/>
    <w:rsid w:val="00D36587"/>
    <w:rsid w:val="00D365A1"/>
    <w:rsid w:val="00D37082"/>
    <w:rsid w:val="00D371CD"/>
    <w:rsid w:val="00D40E48"/>
    <w:rsid w:val="00D410DF"/>
    <w:rsid w:val="00D4151F"/>
    <w:rsid w:val="00D43158"/>
    <w:rsid w:val="00D432BB"/>
    <w:rsid w:val="00D43319"/>
    <w:rsid w:val="00D44EDC"/>
    <w:rsid w:val="00D46DBA"/>
    <w:rsid w:val="00D503B4"/>
    <w:rsid w:val="00D50B96"/>
    <w:rsid w:val="00D53B93"/>
    <w:rsid w:val="00D55BE2"/>
    <w:rsid w:val="00D5615B"/>
    <w:rsid w:val="00D56F75"/>
    <w:rsid w:val="00D57A65"/>
    <w:rsid w:val="00D61025"/>
    <w:rsid w:val="00D61A4D"/>
    <w:rsid w:val="00D61B31"/>
    <w:rsid w:val="00D621A6"/>
    <w:rsid w:val="00D62E19"/>
    <w:rsid w:val="00D63627"/>
    <w:rsid w:val="00D63C05"/>
    <w:rsid w:val="00D64E4A"/>
    <w:rsid w:val="00D6730C"/>
    <w:rsid w:val="00D736F5"/>
    <w:rsid w:val="00D73C33"/>
    <w:rsid w:val="00D7486B"/>
    <w:rsid w:val="00D74A44"/>
    <w:rsid w:val="00D76465"/>
    <w:rsid w:val="00D76AD8"/>
    <w:rsid w:val="00D77AFE"/>
    <w:rsid w:val="00D80BE2"/>
    <w:rsid w:val="00D81BAE"/>
    <w:rsid w:val="00D83B81"/>
    <w:rsid w:val="00D8476B"/>
    <w:rsid w:val="00D84D48"/>
    <w:rsid w:val="00D84E13"/>
    <w:rsid w:val="00D84E5D"/>
    <w:rsid w:val="00D85229"/>
    <w:rsid w:val="00D868F2"/>
    <w:rsid w:val="00D86A86"/>
    <w:rsid w:val="00D86C0B"/>
    <w:rsid w:val="00D87106"/>
    <w:rsid w:val="00D90757"/>
    <w:rsid w:val="00D914EB"/>
    <w:rsid w:val="00D91745"/>
    <w:rsid w:val="00D92493"/>
    <w:rsid w:val="00D93B10"/>
    <w:rsid w:val="00D94405"/>
    <w:rsid w:val="00D96759"/>
    <w:rsid w:val="00D96F8F"/>
    <w:rsid w:val="00D97702"/>
    <w:rsid w:val="00D977B3"/>
    <w:rsid w:val="00D97C78"/>
    <w:rsid w:val="00DA035E"/>
    <w:rsid w:val="00DA062E"/>
    <w:rsid w:val="00DA0E37"/>
    <w:rsid w:val="00DA262B"/>
    <w:rsid w:val="00DA3256"/>
    <w:rsid w:val="00DA6620"/>
    <w:rsid w:val="00DA6D29"/>
    <w:rsid w:val="00DA6F85"/>
    <w:rsid w:val="00DA70A6"/>
    <w:rsid w:val="00DA7998"/>
    <w:rsid w:val="00DB00FE"/>
    <w:rsid w:val="00DB1128"/>
    <w:rsid w:val="00DB145D"/>
    <w:rsid w:val="00DB21B1"/>
    <w:rsid w:val="00DB2923"/>
    <w:rsid w:val="00DB2CCE"/>
    <w:rsid w:val="00DB42C7"/>
    <w:rsid w:val="00DB494F"/>
    <w:rsid w:val="00DB5499"/>
    <w:rsid w:val="00DB609E"/>
    <w:rsid w:val="00DB7F26"/>
    <w:rsid w:val="00DC0C0F"/>
    <w:rsid w:val="00DC167B"/>
    <w:rsid w:val="00DC2219"/>
    <w:rsid w:val="00DC2611"/>
    <w:rsid w:val="00DC41BA"/>
    <w:rsid w:val="00DC48FF"/>
    <w:rsid w:val="00DC5455"/>
    <w:rsid w:val="00DC6AE3"/>
    <w:rsid w:val="00DC6B71"/>
    <w:rsid w:val="00DC79EF"/>
    <w:rsid w:val="00DD1482"/>
    <w:rsid w:val="00DD1C4F"/>
    <w:rsid w:val="00DD2448"/>
    <w:rsid w:val="00DD28A7"/>
    <w:rsid w:val="00DD2E37"/>
    <w:rsid w:val="00DD2F85"/>
    <w:rsid w:val="00DD38A2"/>
    <w:rsid w:val="00DD4DB5"/>
    <w:rsid w:val="00DD5026"/>
    <w:rsid w:val="00DD5B72"/>
    <w:rsid w:val="00DD6949"/>
    <w:rsid w:val="00DD6C90"/>
    <w:rsid w:val="00DD70E4"/>
    <w:rsid w:val="00DD7614"/>
    <w:rsid w:val="00DE0D5F"/>
    <w:rsid w:val="00DE1730"/>
    <w:rsid w:val="00DE3468"/>
    <w:rsid w:val="00DE3E3B"/>
    <w:rsid w:val="00DE5601"/>
    <w:rsid w:val="00DE68E0"/>
    <w:rsid w:val="00DF0C11"/>
    <w:rsid w:val="00DF1753"/>
    <w:rsid w:val="00DF310D"/>
    <w:rsid w:val="00DF3BC4"/>
    <w:rsid w:val="00DF4FA1"/>
    <w:rsid w:val="00DF518D"/>
    <w:rsid w:val="00DF7230"/>
    <w:rsid w:val="00E005A9"/>
    <w:rsid w:val="00E008F5"/>
    <w:rsid w:val="00E026E4"/>
    <w:rsid w:val="00E03189"/>
    <w:rsid w:val="00E03E6E"/>
    <w:rsid w:val="00E040BD"/>
    <w:rsid w:val="00E0410B"/>
    <w:rsid w:val="00E0456E"/>
    <w:rsid w:val="00E070A3"/>
    <w:rsid w:val="00E07327"/>
    <w:rsid w:val="00E1230D"/>
    <w:rsid w:val="00E13DD8"/>
    <w:rsid w:val="00E15675"/>
    <w:rsid w:val="00E1577C"/>
    <w:rsid w:val="00E15E08"/>
    <w:rsid w:val="00E16717"/>
    <w:rsid w:val="00E16DD4"/>
    <w:rsid w:val="00E20198"/>
    <w:rsid w:val="00E20F67"/>
    <w:rsid w:val="00E24AD4"/>
    <w:rsid w:val="00E24C17"/>
    <w:rsid w:val="00E255D0"/>
    <w:rsid w:val="00E25C92"/>
    <w:rsid w:val="00E2776B"/>
    <w:rsid w:val="00E30A0B"/>
    <w:rsid w:val="00E31535"/>
    <w:rsid w:val="00E328DB"/>
    <w:rsid w:val="00E32BB4"/>
    <w:rsid w:val="00E3362C"/>
    <w:rsid w:val="00E33B31"/>
    <w:rsid w:val="00E34D2B"/>
    <w:rsid w:val="00E34E33"/>
    <w:rsid w:val="00E36382"/>
    <w:rsid w:val="00E369E8"/>
    <w:rsid w:val="00E36D41"/>
    <w:rsid w:val="00E36F3D"/>
    <w:rsid w:val="00E374E5"/>
    <w:rsid w:val="00E40880"/>
    <w:rsid w:val="00E43D47"/>
    <w:rsid w:val="00E441DE"/>
    <w:rsid w:val="00E469CB"/>
    <w:rsid w:val="00E46F00"/>
    <w:rsid w:val="00E47582"/>
    <w:rsid w:val="00E500F2"/>
    <w:rsid w:val="00E50A0B"/>
    <w:rsid w:val="00E51C8F"/>
    <w:rsid w:val="00E534E0"/>
    <w:rsid w:val="00E54257"/>
    <w:rsid w:val="00E54298"/>
    <w:rsid w:val="00E544C6"/>
    <w:rsid w:val="00E54CE7"/>
    <w:rsid w:val="00E550FF"/>
    <w:rsid w:val="00E55FD4"/>
    <w:rsid w:val="00E5641D"/>
    <w:rsid w:val="00E61B53"/>
    <w:rsid w:val="00E626B7"/>
    <w:rsid w:val="00E629CE"/>
    <w:rsid w:val="00E63B71"/>
    <w:rsid w:val="00E641F4"/>
    <w:rsid w:val="00E6442C"/>
    <w:rsid w:val="00E655EA"/>
    <w:rsid w:val="00E6595B"/>
    <w:rsid w:val="00E65EC7"/>
    <w:rsid w:val="00E67356"/>
    <w:rsid w:val="00E70820"/>
    <w:rsid w:val="00E722EA"/>
    <w:rsid w:val="00E72E1D"/>
    <w:rsid w:val="00E734DC"/>
    <w:rsid w:val="00E7369B"/>
    <w:rsid w:val="00E75D44"/>
    <w:rsid w:val="00E761E5"/>
    <w:rsid w:val="00E76584"/>
    <w:rsid w:val="00E77AA7"/>
    <w:rsid w:val="00E82C2B"/>
    <w:rsid w:val="00E830DE"/>
    <w:rsid w:val="00E83940"/>
    <w:rsid w:val="00E84499"/>
    <w:rsid w:val="00E85AB0"/>
    <w:rsid w:val="00E865D4"/>
    <w:rsid w:val="00E86BD7"/>
    <w:rsid w:val="00E87119"/>
    <w:rsid w:val="00E87280"/>
    <w:rsid w:val="00E87DA8"/>
    <w:rsid w:val="00E90FEF"/>
    <w:rsid w:val="00E93D2C"/>
    <w:rsid w:val="00E94FBD"/>
    <w:rsid w:val="00E9575A"/>
    <w:rsid w:val="00E96275"/>
    <w:rsid w:val="00E96BCF"/>
    <w:rsid w:val="00EA14C7"/>
    <w:rsid w:val="00EA20BA"/>
    <w:rsid w:val="00EA2AAD"/>
    <w:rsid w:val="00EA2B39"/>
    <w:rsid w:val="00EA2ECE"/>
    <w:rsid w:val="00EA312B"/>
    <w:rsid w:val="00EA5014"/>
    <w:rsid w:val="00EA52F1"/>
    <w:rsid w:val="00EA5B4A"/>
    <w:rsid w:val="00EA5DD3"/>
    <w:rsid w:val="00EA6285"/>
    <w:rsid w:val="00EA69C0"/>
    <w:rsid w:val="00EA6C8C"/>
    <w:rsid w:val="00EA748C"/>
    <w:rsid w:val="00EA7606"/>
    <w:rsid w:val="00EA7D40"/>
    <w:rsid w:val="00EB1E4A"/>
    <w:rsid w:val="00EB40DD"/>
    <w:rsid w:val="00EB462A"/>
    <w:rsid w:val="00EB61A7"/>
    <w:rsid w:val="00EB6366"/>
    <w:rsid w:val="00EB7420"/>
    <w:rsid w:val="00EC1051"/>
    <w:rsid w:val="00EC2F57"/>
    <w:rsid w:val="00EC32BF"/>
    <w:rsid w:val="00EC32FC"/>
    <w:rsid w:val="00EC36E0"/>
    <w:rsid w:val="00EC4383"/>
    <w:rsid w:val="00EC4821"/>
    <w:rsid w:val="00ED03C7"/>
    <w:rsid w:val="00ED058A"/>
    <w:rsid w:val="00ED06A5"/>
    <w:rsid w:val="00ED1870"/>
    <w:rsid w:val="00ED195C"/>
    <w:rsid w:val="00ED207A"/>
    <w:rsid w:val="00ED2308"/>
    <w:rsid w:val="00ED3F06"/>
    <w:rsid w:val="00ED45EE"/>
    <w:rsid w:val="00ED47EC"/>
    <w:rsid w:val="00ED5E0D"/>
    <w:rsid w:val="00ED7EEB"/>
    <w:rsid w:val="00EE034A"/>
    <w:rsid w:val="00EE099E"/>
    <w:rsid w:val="00EE1140"/>
    <w:rsid w:val="00EE12EF"/>
    <w:rsid w:val="00EE19BA"/>
    <w:rsid w:val="00EE21E3"/>
    <w:rsid w:val="00EE29ED"/>
    <w:rsid w:val="00EE2ACF"/>
    <w:rsid w:val="00EE2EA3"/>
    <w:rsid w:val="00EE306C"/>
    <w:rsid w:val="00EE3531"/>
    <w:rsid w:val="00EE4056"/>
    <w:rsid w:val="00EE4157"/>
    <w:rsid w:val="00EE4248"/>
    <w:rsid w:val="00EE4858"/>
    <w:rsid w:val="00EE62C5"/>
    <w:rsid w:val="00EF112C"/>
    <w:rsid w:val="00EF1D2B"/>
    <w:rsid w:val="00EF29B2"/>
    <w:rsid w:val="00EF2E8E"/>
    <w:rsid w:val="00EF32A9"/>
    <w:rsid w:val="00EF357B"/>
    <w:rsid w:val="00EF3BFF"/>
    <w:rsid w:val="00EF4932"/>
    <w:rsid w:val="00EF5729"/>
    <w:rsid w:val="00EF5D36"/>
    <w:rsid w:val="00EF7E10"/>
    <w:rsid w:val="00EF7E35"/>
    <w:rsid w:val="00F00376"/>
    <w:rsid w:val="00F0237B"/>
    <w:rsid w:val="00F0342F"/>
    <w:rsid w:val="00F03481"/>
    <w:rsid w:val="00F040D8"/>
    <w:rsid w:val="00F05A93"/>
    <w:rsid w:val="00F06DDB"/>
    <w:rsid w:val="00F101A8"/>
    <w:rsid w:val="00F102F1"/>
    <w:rsid w:val="00F11867"/>
    <w:rsid w:val="00F123D5"/>
    <w:rsid w:val="00F124C8"/>
    <w:rsid w:val="00F13758"/>
    <w:rsid w:val="00F153D2"/>
    <w:rsid w:val="00F15AD1"/>
    <w:rsid w:val="00F16DB2"/>
    <w:rsid w:val="00F16E95"/>
    <w:rsid w:val="00F203C3"/>
    <w:rsid w:val="00F209C1"/>
    <w:rsid w:val="00F217F0"/>
    <w:rsid w:val="00F2292A"/>
    <w:rsid w:val="00F23F06"/>
    <w:rsid w:val="00F2573B"/>
    <w:rsid w:val="00F259E1"/>
    <w:rsid w:val="00F25D60"/>
    <w:rsid w:val="00F26FF9"/>
    <w:rsid w:val="00F30F23"/>
    <w:rsid w:val="00F32AD0"/>
    <w:rsid w:val="00F32D7E"/>
    <w:rsid w:val="00F3399F"/>
    <w:rsid w:val="00F33C83"/>
    <w:rsid w:val="00F3405F"/>
    <w:rsid w:val="00F34246"/>
    <w:rsid w:val="00F35666"/>
    <w:rsid w:val="00F35CD7"/>
    <w:rsid w:val="00F370DC"/>
    <w:rsid w:val="00F37426"/>
    <w:rsid w:val="00F406C4"/>
    <w:rsid w:val="00F40967"/>
    <w:rsid w:val="00F42D3B"/>
    <w:rsid w:val="00F431B9"/>
    <w:rsid w:val="00F4358C"/>
    <w:rsid w:val="00F446D6"/>
    <w:rsid w:val="00F44D27"/>
    <w:rsid w:val="00F4518A"/>
    <w:rsid w:val="00F4783C"/>
    <w:rsid w:val="00F47BA9"/>
    <w:rsid w:val="00F5208D"/>
    <w:rsid w:val="00F53642"/>
    <w:rsid w:val="00F54462"/>
    <w:rsid w:val="00F55256"/>
    <w:rsid w:val="00F55B5A"/>
    <w:rsid w:val="00F5669E"/>
    <w:rsid w:val="00F568C8"/>
    <w:rsid w:val="00F6018F"/>
    <w:rsid w:val="00F6091E"/>
    <w:rsid w:val="00F6404F"/>
    <w:rsid w:val="00F64BEE"/>
    <w:rsid w:val="00F650CD"/>
    <w:rsid w:val="00F6649B"/>
    <w:rsid w:val="00F71700"/>
    <w:rsid w:val="00F71BD6"/>
    <w:rsid w:val="00F72310"/>
    <w:rsid w:val="00F72ACD"/>
    <w:rsid w:val="00F7496C"/>
    <w:rsid w:val="00F75349"/>
    <w:rsid w:val="00F757BA"/>
    <w:rsid w:val="00F757E4"/>
    <w:rsid w:val="00F76671"/>
    <w:rsid w:val="00F77415"/>
    <w:rsid w:val="00F82581"/>
    <w:rsid w:val="00F82ACA"/>
    <w:rsid w:val="00F8346E"/>
    <w:rsid w:val="00F84C95"/>
    <w:rsid w:val="00F85431"/>
    <w:rsid w:val="00F85B97"/>
    <w:rsid w:val="00F87F35"/>
    <w:rsid w:val="00F90187"/>
    <w:rsid w:val="00F90359"/>
    <w:rsid w:val="00F90461"/>
    <w:rsid w:val="00F90AF1"/>
    <w:rsid w:val="00F924AE"/>
    <w:rsid w:val="00F93670"/>
    <w:rsid w:val="00F953F2"/>
    <w:rsid w:val="00F958FB"/>
    <w:rsid w:val="00F96863"/>
    <w:rsid w:val="00F974E3"/>
    <w:rsid w:val="00F978E8"/>
    <w:rsid w:val="00FA0AA2"/>
    <w:rsid w:val="00FA2876"/>
    <w:rsid w:val="00FA306F"/>
    <w:rsid w:val="00FA30DD"/>
    <w:rsid w:val="00FA368A"/>
    <w:rsid w:val="00FA3EF9"/>
    <w:rsid w:val="00FA5394"/>
    <w:rsid w:val="00FA585F"/>
    <w:rsid w:val="00FB08C9"/>
    <w:rsid w:val="00FB14ED"/>
    <w:rsid w:val="00FB1693"/>
    <w:rsid w:val="00FB18AD"/>
    <w:rsid w:val="00FB25AC"/>
    <w:rsid w:val="00FB2629"/>
    <w:rsid w:val="00FB2F55"/>
    <w:rsid w:val="00FB3658"/>
    <w:rsid w:val="00FB41DA"/>
    <w:rsid w:val="00FB6578"/>
    <w:rsid w:val="00FB6AC5"/>
    <w:rsid w:val="00FB6ECE"/>
    <w:rsid w:val="00FB6FBA"/>
    <w:rsid w:val="00FC1018"/>
    <w:rsid w:val="00FC1908"/>
    <w:rsid w:val="00FC35FF"/>
    <w:rsid w:val="00FC602B"/>
    <w:rsid w:val="00FC6E70"/>
    <w:rsid w:val="00FC6FC7"/>
    <w:rsid w:val="00FD1267"/>
    <w:rsid w:val="00FD3373"/>
    <w:rsid w:val="00FD3E6F"/>
    <w:rsid w:val="00FD4800"/>
    <w:rsid w:val="00FD585D"/>
    <w:rsid w:val="00FD76F4"/>
    <w:rsid w:val="00FE0F8E"/>
    <w:rsid w:val="00FE2077"/>
    <w:rsid w:val="00FE25BD"/>
    <w:rsid w:val="00FE4A45"/>
    <w:rsid w:val="00FE5701"/>
    <w:rsid w:val="00FE6523"/>
    <w:rsid w:val="00FE6678"/>
    <w:rsid w:val="00FE6E47"/>
    <w:rsid w:val="00FE774A"/>
    <w:rsid w:val="00FE78B7"/>
    <w:rsid w:val="00FF0070"/>
    <w:rsid w:val="00FF06F3"/>
    <w:rsid w:val="00FF0F43"/>
    <w:rsid w:val="00FF1B6C"/>
    <w:rsid w:val="00FF2F17"/>
    <w:rsid w:val="00FF31BB"/>
    <w:rsid w:val="00FF4017"/>
    <w:rsid w:val="00FF410C"/>
    <w:rsid w:val="00FF41A1"/>
    <w:rsid w:val="00FF4B08"/>
    <w:rsid w:val="00FF560A"/>
    <w:rsid w:val="00FF572F"/>
    <w:rsid w:val="00FF6EFB"/>
    <w:rsid w:val="01141165"/>
    <w:rsid w:val="01390BCC"/>
    <w:rsid w:val="013B2B96"/>
    <w:rsid w:val="0159301C"/>
    <w:rsid w:val="016F283F"/>
    <w:rsid w:val="01730582"/>
    <w:rsid w:val="019329D2"/>
    <w:rsid w:val="01B85F94"/>
    <w:rsid w:val="01CF32DE"/>
    <w:rsid w:val="01FF4EDD"/>
    <w:rsid w:val="02004145"/>
    <w:rsid w:val="021653B1"/>
    <w:rsid w:val="025738FC"/>
    <w:rsid w:val="027A5940"/>
    <w:rsid w:val="02A82AA1"/>
    <w:rsid w:val="02BF15A4"/>
    <w:rsid w:val="02FA082F"/>
    <w:rsid w:val="02FF7BF3"/>
    <w:rsid w:val="03443858"/>
    <w:rsid w:val="0374238F"/>
    <w:rsid w:val="03806F86"/>
    <w:rsid w:val="03AC1B29"/>
    <w:rsid w:val="03B409DD"/>
    <w:rsid w:val="03F37758"/>
    <w:rsid w:val="03F94ADC"/>
    <w:rsid w:val="04114082"/>
    <w:rsid w:val="04387860"/>
    <w:rsid w:val="04442583"/>
    <w:rsid w:val="04AB1EA0"/>
    <w:rsid w:val="04CD7FA9"/>
    <w:rsid w:val="04D330E5"/>
    <w:rsid w:val="05047743"/>
    <w:rsid w:val="053A13B6"/>
    <w:rsid w:val="053C0C8A"/>
    <w:rsid w:val="054A784B"/>
    <w:rsid w:val="05526700"/>
    <w:rsid w:val="058645FB"/>
    <w:rsid w:val="058D14E6"/>
    <w:rsid w:val="06451DC1"/>
    <w:rsid w:val="067032E2"/>
    <w:rsid w:val="06A83C28"/>
    <w:rsid w:val="06DD024B"/>
    <w:rsid w:val="07003B3D"/>
    <w:rsid w:val="071719AF"/>
    <w:rsid w:val="07195727"/>
    <w:rsid w:val="077566D6"/>
    <w:rsid w:val="0797664C"/>
    <w:rsid w:val="07CF2CFE"/>
    <w:rsid w:val="07DB47E0"/>
    <w:rsid w:val="07DF13ED"/>
    <w:rsid w:val="081C5119"/>
    <w:rsid w:val="08EC0C19"/>
    <w:rsid w:val="090715AF"/>
    <w:rsid w:val="092E4D8E"/>
    <w:rsid w:val="093525C0"/>
    <w:rsid w:val="099C1A52"/>
    <w:rsid w:val="09B5725D"/>
    <w:rsid w:val="09B72FD5"/>
    <w:rsid w:val="09C13E54"/>
    <w:rsid w:val="0A164704"/>
    <w:rsid w:val="0A1E12A6"/>
    <w:rsid w:val="0A5D3B7D"/>
    <w:rsid w:val="0A764C3F"/>
    <w:rsid w:val="0A805ABD"/>
    <w:rsid w:val="0A9F23E7"/>
    <w:rsid w:val="0AA25A34"/>
    <w:rsid w:val="0ACA0AE6"/>
    <w:rsid w:val="0AF52007"/>
    <w:rsid w:val="0AFA5870"/>
    <w:rsid w:val="0AFC15E8"/>
    <w:rsid w:val="0B5750F1"/>
    <w:rsid w:val="0B6759FE"/>
    <w:rsid w:val="0C160487"/>
    <w:rsid w:val="0C364685"/>
    <w:rsid w:val="0C466EF1"/>
    <w:rsid w:val="0C8A677F"/>
    <w:rsid w:val="0CAB1549"/>
    <w:rsid w:val="0CC55A09"/>
    <w:rsid w:val="0CDB667B"/>
    <w:rsid w:val="0D002EE5"/>
    <w:rsid w:val="0D1D5845"/>
    <w:rsid w:val="0D3F756A"/>
    <w:rsid w:val="0D682F64"/>
    <w:rsid w:val="0D6B035F"/>
    <w:rsid w:val="0D9D0734"/>
    <w:rsid w:val="0DE85E53"/>
    <w:rsid w:val="0E0B7D94"/>
    <w:rsid w:val="0E593927"/>
    <w:rsid w:val="0EAD2BF9"/>
    <w:rsid w:val="0EC36DAD"/>
    <w:rsid w:val="0ED463D8"/>
    <w:rsid w:val="0EDF610E"/>
    <w:rsid w:val="0EF83E74"/>
    <w:rsid w:val="0F052A35"/>
    <w:rsid w:val="0F2E3D3A"/>
    <w:rsid w:val="0F476BAA"/>
    <w:rsid w:val="0F7F00F1"/>
    <w:rsid w:val="0F9B0CA3"/>
    <w:rsid w:val="0FA364D6"/>
    <w:rsid w:val="0FA4224E"/>
    <w:rsid w:val="0FD0094D"/>
    <w:rsid w:val="0FE12B5A"/>
    <w:rsid w:val="0FE443F8"/>
    <w:rsid w:val="101F6412"/>
    <w:rsid w:val="10446233"/>
    <w:rsid w:val="108856CC"/>
    <w:rsid w:val="10DE353E"/>
    <w:rsid w:val="10DE52EC"/>
    <w:rsid w:val="10E21B3A"/>
    <w:rsid w:val="10F22B45"/>
    <w:rsid w:val="10F42D61"/>
    <w:rsid w:val="111B02EE"/>
    <w:rsid w:val="1134315E"/>
    <w:rsid w:val="113E40C1"/>
    <w:rsid w:val="11511F61"/>
    <w:rsid w:val="11531836"/>
    <w:rsid w:val="11665A0D"/>
    <w:rsid w:val="12046FD4"/>
    <w:rsid w:val="120E7E53"/>
    <w:rsid w:val="12333415"/>
    <w:rsid w:val="123A29F6"/>
    <w:rsid w:val="12802AFE"/>
    <w:rsid w:val="128A74D9"/>
    <w:rsid w:val="12A42AEE"/>
    <w:rsid w:val="12B04A66"/>
    <w:rsid w:val="12C30C3D"/>
    <w:rsid w:val="12CA3AEE"/>
    <w:rsid w:val="130C6140"/>
    <w:rsid w:val="13174AE5"/>
    <w:rsid w:val="13257202"/>
    <w:rsid w:val="13315BA7"/>
    <w:rsid w:val="133D279D"/>
    <w:rsid w:val="139A199E"/>
    <w:rsid w:val="140212F1"/>
    <w:rsid w:val="14067033"/>
    <w:rsid w:val="14172FEE"/>
    <w:rsid w:val="14A01236"/>
    <w:rsid w:val="14D964F6"/>
    <w:rsid w:val="14E153AA"/>
    <w:rsid w:val="151E65FF"/>
    <w:rsid w:val="15202377"/>
    <w:rsid w:val="1542187A"/>
    <w:rsid w:val="155C2C83"/>
    <w:rsid w:val="156F0C08"/>
    <w:rsid w:val="1573694A"/>
    <w:rsid w:val="157E0E4B"/>
    <w:rsid w:val="161E0BD1"/>
    <w:rsid w:val="162639BD"/>
    <w:rsid w:val="165F0C7D"/>
    <w:rsid w:val="167A60DD"/>
    <w:rsid w:val="168B7CC4"/>
    <w:rsid w:val="16A877E9"/>
    <w:rsid w:val="16B70710"/>
    <w:rsid w:val="16BA2357"/>
    <w:rsid w:val="16BE59A3"/>
    <w:rsid w:val="16EF0253"/>
    <w:rsid w:val="17231CAA"/>
    <w:rsid w:val="17457E73"/>
    <w:rsid w:val="177E5132"/>
    <w:rsid w:val="17A821AF"/>
    <w:rsid w:val="17E72CD8"/>
    <w:rsid w:val="17FF2717"/>
    <w:rsid w:val="182C1032"/>
    <w:rsid w:val="184C5231"/>
    <w:rsid w:val="185809BE"/>
    <w:rsid w:val="18581E27"/>
    <w:rsid w:val="18A706B9"/>
    <w:rsid w:val="18A961DF"/>
    <w:rsid w:val="18BF5A03"/>
    <w:rsid w:val="18C96881"/>
    <w:rsid w:val="18CE3E98"/>
    <w:rsid w:val="18E92A80"/>
    <w:rsid w:val="18FC0A05"/>
    <w:rsid w:val="19115BEF"/>
    <w:rsid w:val="19362169"/>
    <w:rsid w:val="19550115"/>
    <w:rsid w:val="196A001E"/>
    <w:rsid w:val="196B16E7"/>
    <w:rsid w:val="19744A3F"/>
    <w:rsid w:val="197C38F4"/>
    <w:rsid w:val="197F0DB4"/>
    <w:rsid w:val="19FB6F0E"/>
    <w:rsid w:val="1A02204B"/>
    <w:rsid w:val="1A2E2E40"/>
    <w:rsid w:val="1A473F02"/>
    <w:rsid w:val="1A6C5716"/>
    <w:rsid w:val="1AA475A6"/>
    <w:rsid w:val="1AF8344E"/>
    <w:rsid w:val="1B202A13"/>
    <w:rsid w:val="1B520DB0"/>
    <w:rsid w:val="1B5543FC"/>
    <w:rsid w:val="1B852F33"/>
    <w:rsid w:val="1BD00198"/>
    <w:rsid w:val="1C330BE1"/>
    <w:rsid w:val="1C3E30E2"/>
    <w:rsid w:val="1C413DEA"/>
    <w:rsid w:val="1C4E5A1B"/>
    <w:rsid w:val="1C512E16"/>
    <w:rsid w:val="1C6A3ED7"/>
    <w:rsid w:val="1C821221"/>
    <w:rsid w:val="1C890801"/>
    <w:rsid w:val="1CA078F9"/>
    <w:rsid w:val="1CA70C88"/>
    <w:rsid w:val="1CEE2D5A"/>
    <w:rsid w:val="1D1125A5"/>
    <w:rsid w:val="1D6B6159"/>
    <w:rsid w:val="1D831C59"/>
    <w:rsid w:val="1DC55869"/>
    <w:rsid w:val="1DE303E5"/>
    <w:rsid w:val="1DF12B02"/>
    <w:rsid w:val="1E026ABD"/>
    <w:rsid w:val="1E86136A"/>
    <w:rsid w:val="1ED33FB6"/>
    <w:rsid w:val="1EDF295B"/>
    <w:rsid w:val="1EE415EC"/>
    <w:rsid w:val="1F327BCE"/>
    <w:rsid w:val="1F5A6485"/>
    <w:rsid w:val="1F881244"/>
    <w:rsid w:val="1F890B18"/>
    <w:rsid w:val="1F8B2AE2"/>
    <w:rsid w:val="1FA57DDF"/>
    <w:rsid w:val="1FA63478"/>
    <w:rsid w:val="1FAE057F"/>
    <w:rsid w:val="20185C64"/>
    <w:rsid w:val="20407429"/>
    <w:rsid w:val="206375BB"/>
    <w:rsid w:val="206E604F"/>
    <w:rsid w:val="20890FA4"/>
    <w:rsid w:val="20AC0F62"/>
    <w:rsid w:val="20B87907"/>
    <w:rsid w:val="20B96D24"/>
    <w:rsid w:val="20CA763A"/>
    <w:rsid w:val="20D3029D"/>
    <w:rsid w:val="20FB5A46"/>
    <w:rsid w:val="213351E0"/>
    <w:rsid w:val="217C0935"/>
    <w:rsid w:val="218C669E"/>
    <w:rsid w:val="218E0668"/>
    <w:rsid w:val="21902632"/>
    <w:rsid w:val="219709C9"/>
    <w:rsid w:val="219A0DBB"/>
    <w:rsid w:val="219C4B33"/>
    <w:rsid w:val="219C7685"/>
    <w:rsid w:val="21E11534"/>
    <w:rsid w:val="21E14C3C"/>
    <w:rsid w:val="220D5A31"/>
    <w:rsid w:val="2217240B"/>
    <w:rsid w:val="222F1E4B"/>
    <w:rsid w:val="223905D4"/>
    <w:rsid w:val="22486A69"/>
    <w:rsid w:val="224D407F"/>
    <w:rsid w:val="22EF5136"/>
    <w:rsid w:val="23151041"/>
    <w:rsid w:val="235A6A54"/>
    <w:rsid w:val="235C0A1E"/>
    <w:rsid w:val="23713D9D"/>
    <w:rsid w:val="23793006"/>
    <w:rsid w:val="237C133E"/>
    <w:rsid w:val="23847F75"/>
    <w:rsid w:val="23887A65"/>
    <w:rsid w:val="23A6613D"/>
    <w:rsid w:val="23B1063E"/>
    <w:rsid w:val="23BA5744"/>
    <w:rsid w:val="24286B52"/>
    <w:rsid w:val="243B32DD"/>
    <w:rsid w:val="2468597F"/>
    <w:rsid w:val="24AE34FB"/>
    <w:rsid w:val="24CD76F9"/>
    <w:rsid w:val="24D32F62"/>
    <w:rsid w:val="24D80ADC"/>
    <w:rsid w:val="24F17868"/>
    <w:rsid w:val="24F730CE"/>
    <w:rsid w:val="25096983"/>
    <w:rsid w:val="2536704D"/>
    <w:rsid w:val="253908EB"/>
    <w:rsid w:val="254E0D9E"/>
    <w:rsid w:val="255F2A47"/>
    <w:rsid w:val="25CD79B1"/>
    <w:rsid w:val="25DD396C"/>
    <w:rsid w:val="260E1D77"/>
    <w:rsid w:val="262B46D7"/>
    <w:rsid w:val="263B480B"/>
    <w:rsid w:val="269404CF"/>
    <w:rsid w:val="26A83F7A"/>
    <w:rsid w:val="26C5138C"/>
    <w:rsid w:val="26E36D60"/>
    <w:rsid w:val="271E423C"/>
    <w:rsid w:val="27292135"/>
    <w:rsid w:val="27532138"/>
    <w:rsid w:val="27602AA7"/>
    <w:rsid w:val="276F4A98"/>
    <w:rsid w:val="27710810"/>
    <w:rsid w:val="277B343D"/>
    <w:rsid w:val="27A91D58"/>
    <w:rsid w:val="27BF3329"/>
    <w:rsid w:val="27D112AE"/>
    <w:rsid w:val="27D9023D"/>
    <w:rsid w:val="27FC632B"/>
    <w:rsid w:val="287A36F4"/>
    <w:rsid w:val="28904CC6"/>
    <w:rsid w:val="28BA1D43"/>
    <w:rsid w:val="28BF09DE"/>
    <w:rsid w:val="28C130D1"/>
    <w:rsid w:val="28C24290"/>
    <w:rsid w:val="29086F52"/>
    <w:rsid w:val="292A6EC8"/>
    <w:rsid w:val="294C6E3F"/>
    <w:rsid w:val="29565F0F"/>
    <w:rsid w:val="2A306760"/>
    <w:rsid w:val="2A362444"/>
    <w:rsid w:val="2A4C2E6E"/>
    <w:rsid w:val="2A500BB0"/>
    <w:rsid w:val="2A7523C5"/>
    <w:rsid w:val="2AAB053C"/>
    <w:rsid w:val="2AAD1B5F"/>
    <w:rsid w:val="2AB949A8"/>
    <w:rsid w:val="2ACD3FAF"/>
    <w:rsid w:val="2AFC6642"/>
    <w:rsid w:val="2B30453E"/>
    <w:rsid w:val="2B830B12"/>
    <w:rsid w:val="2B8F395A"/>
    <w:rsid w:val="2BA32F62"/>
    <w:rsid w:val="2C5F157F"/>
    <w:rsid w:val="2C7F752B"/>
    <w:rsid w:val="2C8E59C0"/>
    <w:rsid w:val="2CCF71BF"/>
    <w:rsid w:val="2CD5539D"/>
    <w:rsid w:val="2CF577ED"/>
    <w:rsid w:val="2D336E93"/>
    <w:rsid w:val="2D4367AA"/>
    <w:rsid w:val="2D597D7C"/>
    <w:rsid w:val="2D6C3F53"/>
    <w:rsid w:val="2DC86CB0"/>
    <w:rsid w:val="2DE03FF9"/>
    <w:rsid w:val="2DEE4968"/>
    <w:rsid w:val="2E0979E2"/>
    <w:rsid w:val="2E0979F4"/>
    <w:rsid w:val="2E60513A"/>
    <w:rsid w:val="2E644C2A"/>
    <w:rsid w:val="2EAB2859"/>
    <w:rsid w:val="2EAD65D1"/>
    <w:rsid w:val="2EC456C9"/>
    <w:rsid w:val="2EC90F31"/>
    <w:rsid w:val="2EF266DA"/>
    <w:rsid w:val="2EFF2BA5"/>
    <w:rsid w:val="2F154177"/>
    <w:rsid w:val="2F177EEF"/>
    <w:rsid w:val="2F2440E2"/>
    <w:rsid w:val="2F542EF1"/>
    <w:rsid w:val="2F57653D"/>
    <w:rsid w:val="2F782543"/>
    <w:rsid w:val="2F7B222C"/>
    <w:rsid w:val="2FAB0637"/>
    <w:rsid w:val="2FCC6F2B"/>
    <w:rsid w:val="2FD63906"/>
    <w:rsid w:val="2FD8767E"/>
    <w:rsid w:val="2FF3270A"/>
    <w:rsid w:val="30185CCC"/>
    <w:rsid w:val="302A5A00"/>
    <w:rsid w:val="304C5976"/>
    <w:rsid w:val="306C7DC6"/>
    <w:rsid w:val="307B625B"/>
    <w:rsid w:val="307D1FD3"/>
    <w:rsid w:val="307F5D4C"/>
    <w:rsid w:val="30872E52"/>
    <w:rsid w:val="30907F59"/>
    <w:rsid w:val="30AB6B41"/>
    <w:rsid w:val="30C6397A"/>
    <w:rsid w:val="30C65728"/>
    <w:rsid w:val="30E166AF"/>
    <w:rsid w:val="314D5E4A"/>
    <w:rsid w:val="31794E91"/>
    <w:rsid w:val="319F5F79"/>
    <w:rsid w:val="31AF440F"/>
    <w:rsid w:val="31C205E6"/>
    <w:rsid w:val="31D245A1"/>
    <w:rsid w:val="31E7004C"/>
    <w:rsid w:val="32081D71"/>
    <w:rsid w:val="32180206"/>
    <w:rsid w:val="32313075"/>
    <w:rsid w:val="32896631"/>
    <w:rsid w:val="32981347"/>
    <w:rsid w:val="329F4483"/>
    <w:rsid w:val="32D0288E"/>
    <w:rsid w:val="33087DBE"/>
    <w:rsid w:val="33290C28"/>
    <w:rsid w:val="335E433E"/>
    <w:rsid w:val="33641229"/>
    <w:rsid w:val="337F6063"/>
    <w:rsid w:val="33BE6B8B"/>
    <w:rsid w:val="33D543F3"/>
    <w:rsid w:val="33EC194A"/>
    <w:rsid w:val="33F24171"/>
    <w:rsid w:val="34362916"/>
    <w:rsid w:val="343B642D"/>
    <w:rsid w:val="345319C9"/>
    <w:rsid w:val="345B262C"/>
    <w:rsid w:val="346223EA"/>
    <w:rsid w:val="34627E5E"/>
    <w:rsid w:val="348A6712"/>
    <w:rsid w:val="34A00986"/>
    <w:rsid w:val="34B34216"/>
    <w:rsid w:val="34DF1731"/>
    <w:rsid w:val="352C5D76"/>
    <w:rsid w:val="3538471B"/>
    <w:rsid w:val="353F5AA9"/>
    <w:rsid w:val="35437F3C"/>
    <w:rsid w:val="356B4AF0"/>
    <w:rsid w:val="357C0AAC"/>
    <w:rsid w:val="35AD5109"/>
    <w:rsid w:val="361C228F"/>
    <w:rsid w:val="36370E76"/>
    <w:rsid w:val="37060F75"/>
    <w:rsid w:val="371D006C"/>
    <w:rsid w:val="377F0D27"/>
    <w:rsid w:val="378E4AC6"/>
    <w:rsid w:val="37B81B43"/>
    <w:rsid w:val="37CF580A"/>
    <w:rsid w:val="37F05781"/>
    <w:rsid w:val="3814321D"/>
    <w:rsid w:val="38196A86"/>
    <w:rsid w:val="38796AD2"/>
    <w:rsid w:val="387E0FDF"/>
    <w:rsid w:val="38933113"/>
    <w:rsid w:val="38E56968"/>
    <w:rsid w:val="38EA21D0"/>
    <w:rsid w:val="38F92413"/>
    <w:rsid w:val="390E5EBF"/>
    <w:rsid w:val="39382F3B"/>
    <w:rsid w:val="393F42CA"/>
    <w:rsid w:val="39643D30"/>
    <w:rsid w:val="3982065B"/>
    <w:rsid w:val="39A9208B"/>
    <w:rsid w:val="39AE31FE"/>
    <w:rsid w:val="3A4F49E1"/>
    <w:rsid w:val="3AAA31A6"/>
    <w:rsid w:val="3AFB2473"/>
    <w:rsid w:val="3B0C0D8E"/>
    <w:rsid w:val="3B561D9F"/>
    <w:rsid w:val="3B601BAA"/>
    <w:rsid w:val="3B737874"/>
    <w:rsid w:val="3B81506E"/>
    <w:rsid w:val="3B9A612F"/>
    <w:rsid w:val="3BB865B6"/>
    <w:rsid w:val="3BBA232E"/>
    <w:rsid w:val="3BEE0229"/>
    <w:rsid w:val="3BF375EE"/>
    <w:rsid w:val="3C1C4D96"/>
    <w:rsid w:val="3C4E0CC8"/>
    <w:rsid w:val="3C706E90"/>
    <w:rsid w:val="3C7E77FF"/>
    <w:rsid w:val="3C9708C1"/>
    <w:rsid w:val="3CA628B2"/>
    <w:rsid w:val="3CB13731"/>
    <w:rsid w:val="3CBA010B"/>
    <w:rsid w:val="3CD967E3"/>
    <w:rsid w:val="3D3B124C"/>
    <w:rsid w:val="3D420C1D"/>
    <w:rsid w:val="3D5E24DD"/>
    <w:rsid w:val="3D6A7D83"/>
    <w:rsid w:val="3D7B02C4"/>
    <w:rsid w:val="3D932E36"/>
    <w:rsid w:val="3D9B7F3D"/>
    <w:rsid w:val="3DAB63D2"/>
    <w:rsid w:val="3DAF5796"/>
    <w:rsid w:val="3DF53AF1"/>
    <w:rsid w:val="3E050ECA"/>
    <w:rsid w:val="3E20639E"/>
    <w:rsid w:val="3ED731F7"/>
    <w:rsid w:val="3EF76F56"/>
    <w:rsid w:val="3F23643C"/>
    <w:rsid w:val="3F5605BF"/>
    <w:rsid w:val="3F591E5E"/>
    <w:rsid w:val="3F6B1B71"/>
    <w:rsid w:val="3F7B0026"/>
    <w:rsid w:val="3FAE2A19"/>
    <w:rsid w:val="3FCC6AD3"/>
    <w:rsid w:val="3FEE6BFE"/>
    <w:rsid w:val="3FFB4CC3"/>
    <w:rsid w:val="40026051"/>
    <w:rsid w:val="400B13AA"/>
    <w:rsid w:val="40526FD9"/>
    <w:rsid w:val="40692574"/>
    <w:rsid w:val="408C5D5A"/>
    <w:rsid w:val="4093139F"/>
    <w:rsid w:val="409F7D44"/>
    <w:rsid w:val="40C81049"/>
    <w:rsid w:val="40D519B8"/>
    <w:rsid w:val="40E37C31"/>
    <w:rsid w:val="410C362B"/>
    <w:rsid w:val="411B561D"/>
    <w:rsid w:val="411C75E7"/>
    <w:rsid w:val="418807D8"/>
    <w:rsid w:val="41B17D2F"/>
    <w:rsid w:val="42024A2E"/>
    <w:rsid w:val="420C765B"/>
    <w:rsid w:val="42C27D1A"/>
    <w:rsid w:val="42CB6BCE"/>
    <w:rsid w:val="42EB7271"/>
    <w:rsid w:val="42F36125"/>
    <w:rsid w:val="4303280C"/>
    <w:rsid w:val="433E55F2"/>
    <w:rsid w:val="434D3A87"/>
    <w:rsid w:val="43900179"/>
    <w:rsid w:val="43B3679B"/>
    <w:rsid w:val="440E3217"/>
    <w:rsid w:val="441B5933"/>
    <w:rsid w:val="44314E59"/>
    <w:rsid w:val="444D0747"/>
    <w:rsid w:val="446F7A2D"/>
    <w:rsid w:val="448E7C71"/>
    <w:rsid w:val="44CC6C2E"/>
    <w:rsid w:val="45124B2C"/>
    <w:rsid w:val="456A6B72"/>
    <w:rsid w:val="45853F10"/>
    <w:rsid w:val="4591073B"/>
    <w:rsid w:val="45A2455E"/>
    <w:rsid w:val="45DE30BD"/>
    <w:rsid w:val="45E5269D"/>
    <w:rsid w:val="462705C0"/>
    <w:rsid w:val="463020CE"/>
    <w:rsid w:val="465A2DAC"/>
    <w:rsid w:val="4669507C"/>
    <w:rsid w:val="466B25F0"/>
    <w:rsid w:val="46E14C12"/>
    <w:rsid w:val="46FD57C4"/>
    <w:rsid w:val="471274C2"/>
    <w:rsid w:val="471F573B"/>
    <w:rsid w:val="47A143A2"/>
    <w:rsid w:val="47CF7161"/>
    <w:rsid w:val="47D371B5"/>
    <w:rsid w:val="47ED3A8B"/>
    <w:rsid w:val="4867718E"/>
    <w:rsid w:val="49090450"/>
    <w:rsid w:val="494E0559"/>
    <w:rsid w:val="495825DA"/>
    <w:rsid w:val="49747FC0"/>
    <w:rsid w:val="498D2E30"/>
    <w:rsid w:val="4993519B"/>
    <w:rsid w:val="49973CAE"/>
    <w:rsid w:val="49D722FD"/>
    <w:rsid w:val="4A0A26D2"/>
    <w:rsid w:val="4A413C1A"/>
    <w:rsid w:val="4A4D25BF"/>
    <w:rsid w:val="4A800BE6"/>
    <w:rsid w:val="4AA85A47"/>
    <w:rsid w:val="4ABA5EA6"/>
    <w:rsid w:val="4AE46C30"/>
    <w:rsid w:val="4AE922E8"/>
    <w:rsid w:val="4B3B68BB"/>
    <w:rsid w:val="4B6E4EE3"/>
    <w:rsid w:val="4B7C7600"/>
    <w:rsid w:val="4BA17066"/>
    <w:rsid w:val="4BC44B03"/>
    <w:rsid w:val="4BC468B1"/>
    <w:rsid w:val="4BD846DB"/>
    <w:rsid w:val="4BF76C86"/>
    <w:rsid w:val="4C0F5D7E"/>
    <w:rsid w:val="4C3A6B73"/>
    <w:rsid w:val="4C43011D"/>
    <w:rsid w:val="4C46543A"/>
    <w:rsid w:val="4C885B30"/>
    <w:rsid w:val="4C8E75EA"/>
    <w:rsid w:val="4CAA5AA7"/>
    <w:rsid w:val="4CE54D31"/>
    <w:rsid w:val="4D0015B6"/>
    <w:rsid w:val="4D657D8E"/>
    <w:rsid w:val="4D752558"/>
    <w:rsid w:val="4D896004"/>
    <w:rsid w:val="4DA621CD"/>
    <w:rsid w:val="4DBC1F35"/>
    <w:rsid w:val="4E241889"/>
    <w:rsid w:val="4E261AA5"/>
    <w:rsid w:val="4E4D0DDF"/>
    <w:rsid w:val="4E791BD4"/>
    <w:rsid w:val="4EA50C1B"/>
    <w:rsid w:val="4F070AB9"/>
    <w:rsid w:val="4F0973FC"/>
    <w:rsid w:val="4F155DA1"/>
    <w:rsid w:val="4FA07BA9"/>
    <w:rsid w:val="4FE45773"/>
    <w:rsid w:val="4FEB4D54"/>
    <w:rsid w:val="502B5150"/>
    <w:rsid w:val="508036EE"/>
    <w:rsid w:val="50BC3FFA"/>
    <w:rsid w:val="51273B6A"/>
    <w:rsid w:val="51340035"/>
    <w:rsid w:val="51760554"/>
    <w:rsid w:val="517D7C2E"/>
    <w:rsid w:val="51AC406F"/>
    <w:rsid w:val="51C413B8"/>
    <w:rsid w:val="51FA127E"/>
    <w:rsid w:val="522D51B0"/>
    <w:rsid w:val="525A3ACB"/>
    <w:rsid w:val="52ED0DE3"/>
    <w:rsid w:val="52F42171"/>
    <w:rsid w:val="53055C92"/>
    <w:rsid w:val="535F7DA2"/>
    <w:rsid w:val="53980D4F"/>
    <w:rsid w:val="53D855EF"/>
    <w:rsid w:val="53F00B8B"/>
    <w:rsid w:val="54180E92"/>
    <w:rsid w:val="5435659E"/>
    <w:rsid w:val="543D6BFA"/>
    <w:rsid w:val="545C1D7C"/>
    <w:rsid w:val="548117E3"/>
    <w:rsid w:val="548D462B"/>
    <w:rsid w:val="54A159E1"/>
    <w:rsid w:val="54A61249"/>
    <w:rsid w:val="54B5148C"/>
    <w:rsid w:val="54C0055D"/>
    <w:rsid w:val="54D758A7"/>
    <w:rsid w:val="550A5C7C"/>
    <w:rsid w:val="55287EB0"/>
    <w:rsid w:val="552D196B"/>
    <w:rsid w:val="552F1668"/>
    <w:rsid w:val="554271C4"/>
    <w:rsid w:val="55A0213D"/>
    <w:rsid w:val="55B6370E"/>
    <w:rsid w:val="55E53FF3"/>
    <w:rsid w:val="55EF09CE"/>
    <w:rsid w:val="564C7BCE"/>
    <w:rsid w:val="565C42B5"/>
    <w:rsid w:val="56D227CA"/>
    <w:rsid w:val="56DE4CCA"/>
    <w:rsid w:val="57024B59"/>
    <w:rsid w:val="573B52B7"/>
    <w:rsid w:val="575651A9"/>
    <w:rsid w:val="575E5E0B"/>
    <w:rsid w:val="57945CD1"/>
    <w:rsid w:val="57961A49"/>
    <w:rsid w:val="579B2BBB"/>
    <w:rsid w:val="57B679F5"/>
    <w:rsid w:val="57C540DC"/>
    <w:rsid w:val="58294E7D"/>
    <w:rsid w:val="58481C7C"/>
    <w:rsid w:val="584B027B"/>
    <w:rsid w:val="58564D34"/>
    <w:rsid w:val="58A76131"/>
    <w:rsid w:val="58F76517"/>
    <w:rsid w:val="59091DA7"/>
    <w:rsid w:val="59126EAD"/>
    <w:rsid w:val="592D018B"/>
    <w:rsid w:val="5958576C"/>
    <w:rsid w:val="59927FEE"/>
    <w:rsid w:val="59A57D21"/>
    <w:rsid w:val="59BE0DE3"/>
    <w:rsid w:val="59D423B5"/>
    <w:rsid w:val="5A33532D"/>
    <w:rsid w:val="5A3410A5"/>
    <w:rsid w:val="5A663955"/>
    <w:rsid w:val="5AD52888"/>
    <w:rsid w:val="5AE26D53"/>
    <w:rsid w:val="5AEC372E"/>
    <w:rsid w:val="5AF5293C"/>
    <w:rsid w:val="5B13515F"/>
    <w:rsid w:val="5B1C04B7"/>
    <w:rsid w:val="5B1E5FDD"/>
    <w:rsid w:val="5B5D530D"/>
    <w:rsid w:val="5B94004E"/>
    <w:rsid w:val="5BDE576D"/>
    <w:rsid w:val="5C480E38"/>
    <w:rsid w:val="5C5B500F"/>
    <w:rsid w:val="5C7A36E7"/>
    <w:rsid w:val="5C9522CF"/>
    <w:rsid w:val="5CA442C0"/>
    <w:rsid w:val="5CF039A9"/>
    <w:rsid w:val="5CFB5CA6"/>
    <w:rsid w:val="5D213E13"/>
    <w:rsid w:val="5D2C42B6"/>
    <w:rsid w:val="5D4B5084"/>
    <w:rsid w:val="5D504448"/>
    <w:rsid w:val="5DF37B91"/>
    <w:rsid w:val="5E1611EE"/>
    <w:rsid w:val="5E59557E"/>
    <w:rsid w:val="5E7B54F5"/>
    <w:rsid w:val="5E9842F9"/>
    <w:rsid w:val="5EB822A5"/>
    <w:rsid w:val="5EDB5F93"/>
    <w:rsid w:val="5EEE216B"/>
    <w:rsid w:val="5EF57055"/>
    <w:rsid w:val="5F1514A5"/>
    <w:rsid w:val="5F6B5569"/>
    <w:rsid w:val="5F7316DF"/>
    <w:rsid w:val="5F9E593F"/>
    <w:rsid w:val="5FB32A6C"/>
    <w:rsid w:val="5FCA3AC9"/>
    <w:rsid w:val="5FDE3E83"/>
    <w:rsid w:val="600A3F4F"/>
    <w:rsid w:val="60714E01"/>
    <w:rsid w:val="60762418"/>
    <w:rsid w:val="607B17DC"/>
    <w:rsid w:val="60970180"/>
    <w:rsid w:val="60DD5FF3"/>
    <w:rsid w:val="60E33348"/>
    <w:rsid w:val="61265BEC"/>
    <w:rsid w:val="612E684E"/>
    <w:rsid w:val="61D07906"/>
    <w:rsid w:val="61FA4982"/>
    <w:rsid w:val="62051CA5"/>
    <w:rsid w:val="62606EDB"/>
    <w:rsid w:val="62650996"/>
    <w:rsid w:val="62736998"/>
    <w:rsid w:val="62AE40EB"/>
    <w:rsid w:val="62D60F4C"/>
    <w:rsid w:val="63316ACA"/>
    <w:rsid w:val="633D0FCB"/>
    <w:rsid w:val="63520F1A"/>
    <w:rsid w:val="639F57E1"/>
    <w:rsid w:val="63C416EC"/>
    <w:rsid w:val="63C67212"/>
    <w:rsid w:val="63E61662"/>
    <w:rsid w:val="63E87188"/>
    <w:rsid w:val="64255382"/>
    <w:rsid w:val="6429154F"/>
    <w:rsid w:val="642C15E7"/>
    <w:rsid w:val="649410BE"/>
    <w:rsid w:val="65002B3F"/>
    <w:rsid w:val="651B6D07"/>
    <w:rsid w:val="65613696"/>
    <w:rsid w:val="658C6239"/>
    <w:rsid w:val="65A96DEB"/>
    <w:rsid w:val="65CB5456"/>
    <w:rsid w:val="6609788A"/>
    <w:rsid w:val="66252916"/>
    <w:rsid w:val="66377F53"/>
    <w:rsid w:val="665A1E94"/>
    <w:rsid w:val="66C51A03"/>
    <w:rsid w:val="66C55251"/>
    <w:rsid w:val="66E55C01"/>
    <w:rsid w:val="673B22B5"/>
    <w:rsid w:val="67656D42"/>
    <w:rsid w:val="676C1E7F"/>
    <w:rsid w:val="67C73559"/>
    <w:rsid w:val="67DA7730"/>
    <w:rsid w:val="67E45EB9"/>
    <w:rsid w:val="67E660D5"/>
    <w:rsid w:val="67ED00C4"/>
    <w:rsid w:val="680447AD"/>
    <w:rsid w:val="68246BFD"/>
    <w:rsid w:val="68262975"/>
    <w:rsid w:val="687A681D"/>
    <w:rsid w:val="69146C72"/>
    <w:rsid w:val="6922138F"/>
    <w:rsid w:val="695B664F"/>
    <w:rsid w:val="697119CE"/>
    <w:rsid w:val="699B2EEF"/>
    <w:rsid w:val="69A9560C"/>
    <w:rsid w:val="6A38073E"/>
    <w:rsid w:val="6A3A2708"/>
    <w:rsid w:val="6A641533"/>
    <w:rsid w:val="6A9E4A45"/>
    <w:rsid w:val="6AE6019A"/>
    <w:rsid w:val="6B594E10"/>
    <w:rsid w:val="6BC32289"/>
    <w:rsid w:val="6C143775"/>
    <w:rsid w:val="6C4038DA"/>
    <w:rsid w:val="6C496C32"/>
    <w:rsid w:val="6C661592"/>
    <w:rsid w:val="6C6C1232"/>
    <w:rsid w:val="6C9F6852"/>
    <w:rsid w:val="6CA64085"/>
    <w:rsid w:val="6CA8341E"/>
    <w:rsid w:val="6CC14A1B"/>
    <w:rsid w:val="6CF748E0"/>
    <w:rsid w:val="6D17288C"/>
    <w:rsid w:val="6D527D69"/>
    <w:rsid w:val="6D836174"/>
    <w:rsid w:val="6D8819DC"/>
    <w:rsid w:val="6DB30807"/>
    <w:rsid w:val="6DF95B01"/>
    <w:rsid w:val="6E05302D"/>
    <w:rsid w:val="6E290AC9"/>
    <w:rsid w:val="6E292877"/>
    <w:rsid w:val="6E2A65EF"/>
    <w:rsid w:val="6E2E7E8E"/>
    <w:rsid w:val="6E445903"/>
    <w:rsid w:val="6E4A0A40"/>
    <w:rsid w:val="6E6F6301"/>
    <w:rsid w:val="6EEF1D13"/>
    <w:rsid w:val="6F2E3EBD"/>
    <w:rsid w:val="6F561264"/>
    <w:rsid w:val="6F6B6EC0"/>
    <w:rsid w:val="6F7E7B76"/>
    <w:rsid w:val="6F8F7052"/>
    <w:rsid w:val="6FCF38F2"/>
    <w:rsid w:val="6FE74798"/>
    <w:rsid w:val="701A2DBF"/>
    <w:rsid w:val="70AC156B"/>
    <w:rsid w:val="70CC520D"/>
    <w:rsid w:val="70CE7706"/>
    <w:rsid w:val="70F51137"/>
    <w:rsid w:val="70F73101"/>
    <w:rsid w:val="7150636D"/>
    <w:rsid w:val="719B1CDE"/>
    <w:rsid w:val="7205184D"/>
    <w:rsid w:val="72312642"/>
    <w:rsid w:val="724834E8"/>
    <w:rsid w:val="72563E57"/>
    <w:rsid w:val="725D51E5"/>
    <w:rsid w:val="72695938"/>
    <w:rsid w:val="72895FDA"/>
    <w:rsid w:val="728E1843"/>
    <w:rsid w:val="72A11576"/>
    <w:rsid w:val="72D8486C"/>
    <w:rsid w:val="72E6342D"/>
    <w:rsid w:val="7309404B"/>
    <w:rsid w:val="733A1083"/>
    <w:rsid w:val="734E4B2E"/>
    <w:rsid w:val="735C724B"/>
    <w:rsid w:val="7370719A"/>
    <w:rsid w:val="73944C37"/>
    <w:rsid w:val="73AB0698"/>
    <w:rsid w:val="73C05A2C"/>
    <w:rsid w:val="73C53042"/>
    <w:rsid w:val="743C0E2B"/>
    <w:rsid w:val="74500210"/>
    <w:rsid w:val="74602D6B"/>
    <w:rsid w:val="747F7695"/>
    <w:rsid w:val="74B11819"/>
    <w:rsid w:val="74CE23CA"/>
    <w:rsid w:val="74F17E67"/>
    <w:rsid w:val="75181898"/>
    <w:rsid w:val="75A1188D"/>
    <w:rsid w:val="75B07D22"/>
    <w:rsid w:val="75CB690A"/>
    <w:rsid w:val="760A7432"/>
    <w:rsid w:val="761B33ED"/>
    <w:rsid w:val="764364A0"/>
    <w:rsid w:val="768C6099"/>
    <w:rsid w:val="76C07AF1"/>
    <w:rsid w:val="76D812DE"/>
    <w:rsid w:val="76F105F2"/>
    <w:rsid w:val="773C186D"/>
    <w:rsid w:val="77613082"/>
    <w:rsid w:val="777A05E8"/>
    <w:rsid w:val="778D031B"/>
    <w:rsid w:val="77950F7E"/>
    <w:rsid w:val="77AE3DED"/>
    <w:rsid w:val="78236589"/>
    <w:rsid w:val="78774B27"/>
    <w:rsid w:val="789B0816"/>
    <w:rsid w:val="78A7540C"/>
    <w:rsid w:val="78C064CE"/>
    <w:rsid w:val="78D15A2C"/>
    <w:rsid w:val="790A7749"/>
    <w:rsid w:val="7993773F"/>
    <w:rsid w:val="79BD2A0E"/>
    <w:rsid w:val="79D02741"/>
    <w:rsid w:val="79EA4A14"/>
    <w:rsid w:val="79FC7092"/>
    <w:rsid w:val="7A010B4C"/>
    <w:rsid w:val="7A102B3D"/>
    <w:rsid w:val="7A6A66F1"/>
    <w:rsid w:val="7AAC0AB8"/>
    <w:rsid w:val="7ADD2675"/>
    <w:rsid w:val="7ADE2C3C"/>
    <w:rsid w:val="7ADE49EA"/>
    <w:rsid w:val="7B203254"/>
    <w:rsid w:val="7B2C39A7"/>
    <w:rsid w:val="7B2F16E9"/>
    <w:rsid w:val="7B407452"/>
    <w:rsid w:val="7B9B0B2D"/>
    <w:rsid w:val="7B9E5132"/>
    <w:rsid w:val="7BE97AEA"/>
    <w:rsid w:val="7C790E6E"/>
    <w:rsid w:val="7CA0464C"/>
    <w:rsid w:val="7CB24380"/>
    <w:rsid w:val="7CBC0D5A"/>
    <w:rsid w:val="7CC55E61"/>
    <w:rsid w:val="7CC83BA3"/>
    <w:rsid w:val="7CE7227B"/>
    <w:rsid w:val="7D3B6123"/>
    <w:rsid w:val="7D3E3E65"/>
    <w:rsid w:val="7D44147C"/>
    <w:rsid w:val="7D6A07B6"/>
    <w:rsid w:val="7D7F24B4"/>
    <w:rsid w:val="7D7F5886"/>
    <w:rsid w:val="7DC12ACC"/>
    <w:rsid w:val="7DC4436B"/>
    <w:rsid w:val="7DCB0410"/>
    <w:rsid w:val="7DEE3196"/>
    <w:rsid w:val="7E355268"/>
    <w:rsid w:val="7E5E656D"/>
    <w:rsid w:val="7E924469"/>
    <w:rsid w:val="7EAB1087"/>
    <w:rsid w:val="7EC37884"/>
    <w:rsid w:val="7ECD54A1"/>
    <w:rsid w:val="7EDE145C"/>
    <w:rsid w:val="7F025DFE"/>
    <w:rsid w:val="7F0709B3"/>
    <w:rsid w:val="7F141322"/>
    <w:rsid w:val="7F361298"/>
    <w:rsid w:val="7F4514DB"/>
    <w:rsid w:val="7F6E4CF8"/>
    <w:rsid w:val="7FCF6FF7"/>
    <w:rsid w:val="7FDB3BED"/>
    <w:rsid w:val="7FE74340"/>
    <w:rsid w:val="7FF56A5D"/>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30"/>
    <w:qFormat/>
    <w:uiPriority w:val="9"/>
    <w:pPr>
      <w:keepNext/>
      <w:keepLines/>
      <w:spacing w:before="260" w:after="260" w:line="416" w:lineRule="auto"/>
      <w:outlineLvl w:val="2"/>
    </w:pPr>
    <w:rPr>
      <w:b/>
      <w:bCs/>
      <w:sz w:val="32"/>
      <w:szCs w:val="32"/>
    </w:rPr>
  </w:style>
  <w:style w:type="paragraph" w:styleId="5">
    <w:name w:val="heading 4"/>
    <w:basedOn w:val="1"/>
    <w:next w:val="1"/>
    <w:link w:val="31"/>
    <w:qFormat/>
    <w:uiPriority w:val="9"/>
    <w:pPr>
      <w:keepNext/>
      <w:keepLines/>
      <w:spacing w:before="50" w:beforeLines="50" w:after="50" w:afterLines="50" w:line="377" w:lineRule="auto"/>
      <w:outlineLvl w:val="3"/>
    </w:pPr>
    <w:rPr>
      <w:rFonts w:ascii="Cambria" w:hAnsi="Cambria"/>
      <w:b/>
      <w:bCs/>
      <w:sz w:val="24"/>
      <w:szCs w:val="28"/>
    </w:rPr>
  </w:style>
  <w:style w:type="paragraph" w:styleId="6">
    <w:name w:val="heading 5"/>
    <w:basedOn w:val="1"/>
    <w:next w:val="1"/>
    <w:link w:val="32"/>
    <w:qFormat/>
    <w:uiPriority w:val="9"/>
    <w:pPr>
      <w:keepNext/>
      <w:keepLines/>
      <w:spacing w:before="50" w:beforeLines="50" w:after="50" w:afterLines="50" w:line="300" w:lineRule="auto"/>
      <w:outlineLvl w:val="4"/>
    </w:pPr>
    <w:rPr>
      <w:b/>
      <w:bCs/>
      <w:sz w:val="24"/>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spacing w:after="120" w:line="360" w:lineRule="auto"/>
      <w:ind w:firstLine="420"/>
    </w:pPr>
    <w:rPr>
      <w:sz w:val="24"/>
      <w:szCs w:val="20"/>
    </w:rPr>
  </w:style>
  <w:style w:type="paragraph" w:styleId="8">
    <w:name w:val="Document Map"/>
    <w:basedOn w:val="1"/>
    <w:link w:val="33"/>
    <w:semiHidden/>
    <w:qFormat/>
    <w:uiPriority w:val="99"/>
    <w:pPr>
      <w:shd w:val="clear" w:color="auto" w:fill="000080"/>
    </w:pPr>
  </w:style>
  <w:style w:type="paragraph" w:styleId="9">
    <w:name w:val="annotation text"/>
    <w:basedOn w:val="1"/>
    <w:semiHidden/>
    <w:qFormat/>
    <w:uiPriority w:val="0"/>
    <w:pPr>
      <w:jc w:val="left"/>
    </w:pPr>
  </w:style>
  <w:style w:type="paragraph" w:styleId="10">
    <w:name w:val="Body Text"/>
    <w:basedOn w:val="1"/>
    <w:qFormat/>
    <w:uiPriority w:val="0"/>
    <w:pPr>
      <w:adjustRightInd w:val="0"/>
      <w:spacing w:after="120" w:line="360" w:lineRule="atLeast"/>
      <w:jc w:val="left"/>
      <w:textAlignment w:val="baseline"/>
    </w:pPr>
    <w:rPr>
      <w:rFonts w:eastAsia="MingLiU"/>
      <w:kern w:val="0"/>
      <w:sz w:val="24"/>
      <w:szCs w:val="20"/>
      <w:lang w:eastAsia="zh-TW"/>
    </w:rPr>
  </w:style>
  <w:style w:type="paragraph" w:styleId="11">
    <w:name w:val="Body Text Indent"/>
    <w:basedOn w:val="1"/>
    <w:link w:val="53"/>
    <w:qFormat/>
    <w:uiPriority w:val="0"/>
    <w:pPr>
      <w:spacing w:after="120"/>
      <w:ind w:left="420" w:leftChars="200"/>
    </w:pPr>
  </w:style>
  <w:style w:type="paragraph" w:styleId="12">
    <w:name w:val="toc 3"/>
    <w:basedOn w:val="1"/>
    <w:next w:val="1"/>
    <w:qFormat/>
    <w:uiPriority w:val="39"/>
    <w:pPr>
      <w:ind w:left="840" w:leftChars="400"/>
    </w:pPr>
  </w:style>
  <w:style w:type="paragraph" w:styleId="13">
    <w:name w:val="Date"/>
    <w:basedOn w:val="1"/>
    <w:next w:val="1"/>
    <w:link w:val="34"/>
    <w:unhideWhenUsed/>
    <w:qFormat/>
    <w:uiPriority w:val="99"/>
    <w:pPr>
      <w:spacing w:line="240" w:lineRule="exact"/>
      <w:ind w:left="100" w:leftChars="2500"/>
    </w:pPr>
    <w:rPr>
      <w:szCs w:val="22"/>
    </w:rPr>
  </w:style>
  <w:style w:type="paragraph" w:styleId="14">
    <w:name w:val="Balloon Text"/>
    <w:basedOn w:val="1"/>
    <w:link w:val="35"/>
    <w:semiHidden/>
    <w:qFormat/>
    <w:uiPriority w:val="99"/>
    <w:rPr>
      <w:sz w:val="18"/>
      <w:szCs w:val="18"/>
    </w:rPr>
  </w:style>
  <w:style w:type="paragraph" w:styleId="15">
    <w:name w:val="footer"/>
    <w:basedOn w:val="1"/>
    <w:link w:val="36"/>
    <w:qFormat/>
    <w:uiPriority w:val="99"/>
    <w:pPr>
      <w:tabs>
        <w:tab w:val="center" w:pos="4153"/>
        <w:tab w:val="right" w:pos="8306"/>
      </w:tabs>
      <w:snapToGrid w:val="0"/>
      <w:jc w:val="left"/>
    </w:pPr>
    <w:rPr>
      <w:sz w:val="18"/>
      <w:szCs w:val="18"/>
    </w:rPr>
  </w:style>
  <w:style w:type="paragraph" w:styleId="16">
    <w:name w:val="header"/>
    <w:basedOn w:val="1"/>
    <w:link w:val="37"/>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tabs>
        <w:tab w:val="right" w:leader="dot" w:pos="9532"/>
      </w:tabs>
      <w:spacing w:line="312" w:lineRule="auto"/>
    </w:pPr>
    <w:rPr>
      <w:rFonts w:ascii="宋体" w:hAnsi="宋体"/>
      <w:b/>
      <w:color w:val="000000"/>
      <w:sz w:val="24"/>
    </w:rPr>
  </w:style>
  <w:style w:type="paragraph" w:styleId="18">
    <w:name w:val="toc 2"/>
    <w:basedOn w:val="1"/>
    <w:next w:val="1"/>
    <w:qFormat/>
    <w:uiPriority w:val="39"/>
    <w:pPr>
      <w:tabs>
        <w:tab w:val="right" w:leader="dot" w:pos="9532"/>
      </w:tabs>
      <w:spacing w:line="312" w:lineRule="auto"/>
      <w:ind w:left="418" w:leftChars="199" w:firstLine="5" w:firstLineChars="2"/>
    </w:pPr>
    <w:rPr>
      <w:color w:val="000000"/>
      <w:sz w:val="24"/>
    </w:rPr>
  </w:style>
  <w:style w:type="paragraph" w:styleId="19">
    <w:name w:val="annotation subject"/>
    <w:basedOn w:val="9"/>
    <w:next w:val="9"/>
    <w:semiHidden/>
    <w:qFormat/>
    <w:uiPriority w:val="0"/>
    <w:rPr>
      <w:b/>
      <w:bCs/>
    </w:rPr>
  </w:style>
  <w:style w:type="paragraph" w:styleId="20">
    <w:name w:val="Body Text First Indent 2"/>
    <w:basedOn w:val="11"/>
    <w:link w:val="54"/>
    <w:unhideWhenUsed/>
    <w:qFormat/>
    <w:uiPriority w:val="0"/>
    <w:pPr>
      <w:ind w:firstLine="420" w:firstLineChars="200"/>
    </w:pPr>
    <w:rPr>
      <w:rFonts w:ascii="Times New Roman" w:hAnsi="Times New Roman"/>
      <w:szCs w:val="20"/>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qFormat/>
    <w:uiPriority w:val="99"/>
  </w:style>
  <w:style w:type="character" w:styleId="26">
    <w:name w:val="Hyperlink"/>
    <w:qFormat/>
    <w:uiPriority w:val="99"/>
    <w:rPr>
      <w:color w:val="0000FF"/>
      <w:u w:val="single"/>
    </w:rPr>
  </w:style>
  <w:style w:type="character" w:styleId="27">
    <w:name w:val="annotation reference"/>
    <w:semiHidden/>
    <w:qFormat/>
    <w:uiPriority w:val="0"/>
    <w:rPr>
      <w:sz w:val="21"/>
      <w:szCs w:val="21"/>
    </w:rPr>
  </w:style>
  <w:style w:type="character" w:customStyle="1" w:styleId="28">
    <w:name w:val="标题 1 字符"/>
    <w:link w:val="2"/>
    <w:qFormat/>
    <w:uiPriority w:val="9"/>
    <w:rPr>
      <w:b/>
      <w:bCs/>
      <w:kern w:val="44"/>
      <w:sz w:val="44"/>
      <w:szCs w:val="44"/>
    </w:rPr>
  </w:style>
  <w:style w:type="character" w:customStyle="1" w:styleId="29">
    <w:name w:val="标题 2 字符"/>
    <w:link w:val="3"/>
    <w:qFormat/>
    <w:uiPriority w:val="9"/>
    <w:rPr>
      <w:rFonts w:ascii="Cambria" w:hAnsi="Cambria"/>
      <w:b/>
      <w:bCs/>
      <w:kern w:val="2"/>
      <w:sz w:val="32"/>
      <w:szCs w:val="32"/>
    </w:rPr>
  </w:style>
  <w:style w:type="character" w:customStyle="1" w:styleId="30">
    <w:name w:val="标题 3 字符"/>
    <w:link w:val="4"/>
    <w:qFormat/>
    <w:uiPriority w:val="9"/>
    <w:rPr>
      <w:b/>
      <w:bCs/>
      <w:kern w:val="2"/>
      <w:sz w:val="32"/>
      <w:szCs w:val="32"/>
    </w:rPr>
  </w:style>
  <w:style w:type="character" w:customStyle="1" w:styleId="31">
    <w:name w:val="标题 4 字符"/>
    <w:link w:val="5"/>
    <w:qFormat/>
    <w:uiPriority w:val="9"/>
    <w:rPr>
      <w:rFonts w:ascii="Cambria" w:hAnsi="Cambria" w:eastAsia="宋体" w:cs="Times New Roman"/>
      <w:b/>
      <w:bCs/>
      <w:kern w:val="2"/>
      <w:sz w:val="24"/>
      <w:szCs w:val="28"/>
    </w:rPr>
  </w:style>
  <w:style w:type="character" w:customStyle="1" w:styleId="32">
    <w:name w:val="标题 5 字符"/>
    <w:link w:val="6"/>
    <w:qFormat/>
    <w:uiPriority w:val="9"/>
    <w:rPr>
      <w:b/>
      <w:bCs/>
      <w:kern w:val="2"/>
      <w:sz w:val="24"/>
      <w:szCs w:val="28"/>
    </w:rPr>
  </w:style>
  <w:style w:type="character" w:customStyle="1" w:styleId="33">
    <w:name w:val="文档结构图 字符"/>
    <w:link w:val="8"/>
    <w:semiHidden/>
    <w:qFormat/>
    <w:uiPriority w:val="99"/>
    <w:rPr>
      <w:kern w:val="2"/>
      <w:sz w:val="21"/>
      <w:szCs w:val="24"/>
      <w:shd w:val="clear" w:color="auto" w:fill="000080"/>
    </w:rPr>
  </w:style>
  <w:style w:type="character" w:customStyle="1" w:styleId="34">
    <w:name w:val="日期 字符"/>
    <w:link w:val="13"/>
    <w:qFormat/>
    <w:uiPriority w:val="99"/>
    <w:rPr>
      <w:rFonts w:ascii="Calibri" w:hAnsi="Calibri"/>
      <w:kern w:val="2"/>
      <w:sz w:val="21"/>
      <w:szCs w:val="22"/>
    </w:rPr>
  </w:style>
  <w:style w:type="character" w:customStyle="1" w:styleId="35">
    <w:name w:val="批注框文本 字符"/>
    <w:link w:val="14"/>
    <w:semiHidden/>
    <w:qFormat/>
    <w:uiPriority w:val="99"/>
    <w:rPr>
      <w:kern w:val="2"/>
      <w:sz w:val="18"/>
      <w:szCs w:val="18"/>
    </w:rPr>
  </w:style>
  <w:style w:type="character" w:customStyle="1" w:styleId="36">
    <w:name w:val="页脚 字符"/>
    <w:link w:val="15"/>
    <w:qFormat/>
    <w:uiPriority w:val="99"/>
    <w:rPr>
      <w:rFonts w:eastAsia="宋体"/>
      <w:kern w:val="2"/>
      <w:sz w:val="18"/>
      <w:szCs w:val="18"/>
      <w:lang w:val="en-US" w:eastAsia="zh-CN" w:bidi="ar-SA"/>
    </w:rPr>
  </w:style>
  <w:style w:type="character" w:customStyle="1" w:styleId="37">
    <w:name w:val="页眉 字符"/>
    <w:link w:val="16"/>
    <w:qFormat/>
    <w:uiPriority w:val="99"/>
    <w:rPr>
      <w:rFonts w:eastAsia="宋体"/>
      <w:kern w:val="2"/>
      <w:sz w:val="18"/>
      <w:szCs w:val="18"/>
      <w:lang w:val="en-US" w:eastAsia="zh-CN" w:bidi="ar-SA"/>
    </w:rPr>
  </w:style>
  <w:style w:type="character" w:customStyle="1" w:styleId="38">
    <w:name w:val="第2级 Char"/>
    <w:link w:val="39"/>
    <w:qFormat/>
    <w:uiPriority w:val="0"/>
    <w:rPr>
      <w:rFonts w:ascii="宋体" w:hAnsi="宋体"/>
      <w:kern w:val="2"/>
      <w:sz w:val="24"/>
      <w:szCs w:val="30"/>
    </w:rPr>
  </w:style>
  <w:style w:type="paragraph" w:customStyle="1" w:styleId="39">
    <w:name w:val="第2级"/>
    <w:basedOn w:val="1"/>
    <w:next w:val="1"/>
    <w:link w:val="38"/>
    <w:qFormat/>
    <w:uiPriority w:val="0"/>
    <w:pPr>
      <w:numPr>
        <w:ilvl w:val="1"/>
        <w:numId w:val="1"/>
      </w:numPr>
      <w:adjustRightInd w:val="0"/>
      <w:snapToGrid w:val="0"/>
      <w:spacing w:before="156" w:beforeLines="50" w:line="360" w:lineRule="auto"/>
      <w:outlineLvl w:val="1"/>
    </w:pPr>
    <w:rPr>
      <w:rFonts w:ascii="宋体" w:hAnsi="宋体"/>
      <w:sz w:val="24"/>
      <w:szCs w:val="30"/>
    </w:rPr>
  </w:style>
  <w:style w:type="paragraph" w:styleId="40">
    <w:name w:val="List Paragraph"/>
    <w:basedOn w:val="1"/>
    <w:qFormat/>
    <w:uiPriority w:val="34"/>
    <w:pPr>
      <w:ind w:firstLine="420" w:firstLineChars="200"/>
    </w:pPr>
  </w:style>
  <w:style w:type="paragraph" w:customStyle="1" w:styleId="41">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2">
    <w:name w:val="TOC Heading"/>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3">
    <w:name w:val="样式1"/>
    <w:basedOn w:val="10"/>
    <w:qFormat/>
    <w:uiPriority w:val="0"/>
    <w:pPr>
      <w:adjustRightInd/>
      <w:spacing w:line="360" w:lineRule="auto"/>
      <w:jc w:val="both"/>
      <w:textAlignment w:val="auto"/>
    </w:pPr>
    <w:rPr>
      <w:rFonts w:eastAsia="宋体"/>
      <w:kern w:val="2"/>
      <w:szCs w:val="24"/>
      <w:lang w:eastAsia="zh-CN"/>
    </w:rPr>
  </w:style>
  <w:style w:type="paragraph" w:customStyle="1" w:styleId="44">
    <w:name w:val="Blockquote"/>
    <w:basedOn w:val="1"/>
    <w:qFormat/>
    <w:uiPriority w:val="0"/>
    <w:pPr>
      <w:autoSpaceDE w:val="0"/>
      <w:autoSpaceDN w:val="0"/>
      <w:adjustRightInd w:val="0"/>
      <w:spacing w:before="100" w:after="100" w:line="360" w:lineRule="auto"/>
      <w:ind w:left="360" w:right="360" w:firstLine="200" w:firstLineChars="200"/>
      <w:jc w:val="left"/>
    </w:pPr>
    <w:rPr>
      <w:rFonts w:ascii="Times New Roman" w:hAnsi="Times New Roman"/>
      <w:kern w:val="0"/>
      <w:sz w:val="24"/>
      <w:szCs w:val="20"/>
    </w:rPr>
  </w:style>
  <w:style w:type="table" w:customStyle="1" w:styleId="45">
    <w:name w:val="网格型1"/>
    <w:basedOn w:val="21"/>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font31"/>
    <w:qFormat/>
    <w:uiPriority w:val="0"/>
    <w:rPr>
      <w:rFonts w:hint="eastAsia" w:ascii="宋体" w:hAnsi="宋体" w:eastAsia="宋体"/>
      <w:color w:val="000000"/>
      <w:sz w:val="24"/>
      <w:szCs w:val="24"/>
      <w:u w:val="none"/>
    </w:rPr>
  </w:style>
  <w:style w:type="character" w:customStyle="1" w:styleId="47">
    <w:name w:val="font11"/>
    <w:qFormat/>
    <w:uiPriority w:val="0"/>
    <w:rPr>
      <w:rFonts w:hint="eastAsia" w:ascii="宋体" w:hAnsi="宋体" w:eastAsia="宋体"/>
      <w:b/>
      <w:bCs/>
      <w:color w:val="000000"/>
      <w:sz w:val="24"/>
      <w:szCs w:val="24"/>
      <w:u w:val="none"/>
    </w:rPr>
  </w:style>
  <w:style w:type="paragraph" w:customStyle="1" w:styleId="48">
    <w:name w:val="Revision"/>
    <w:hidden/>
    <w:unhideWhenUsed/>
    <w:qFormat/>
    <w:uiPriority w:val="99"/>
    <w:rPr>
      <w:rFonts w:ascii="Calibri" w:hAnsi="Calibri" w:eastAsia="宋体" w:cs="Times New Roman"/>
      <w:kern w:val="2"/>
      <w:sz w:val="21"/>
      <w:szCs w:val="21"/>
      <w:lang w:val="en-US" w:eastAsia="zh-CN" w:bidi="ar-SA"/>
    </w:rPr>
  </w:style>
  <w:style w:type="paragraph" w:customStyle="1" w:styleId="49">
    <w:name w:val="4.三级标题"/>
    <w:basedOn w:val="1"/>
    <w:link w:val="51"/>
    <w:qFormat/>
    <w:uiPriority w:val="0"/>
    <w:pPr>
      <w:widowControl/>
      <w:tabs>
        <w:tab w:val="center" w:pos="4153"/>
        <w:tab w:val="left" w:pos="6176"/>
      </w:tabs>
      <w:adjustRightInd w:val="0"/>
      <w:snapToGrid w:val="0"/>
      <w:spacing w:before="100" w:beforeLines="100" w:after="50" w:afterLines="50"/>
      <w:outlineLvl w:val="2"/>
    </w:pPr>
    <w:rPr>
      <w:rFonts w:ascii="宋体" w:hAnsi="宋体"/>
      <w:b/>
      <w:kern w:val="0"/>
      <w:sz w:val="24"/>
      <w:szCs w:val="24"/>
    </w:rPr>
  </w:style>
  <w:style w:type="paragraph" w:customStyle="1" w:styleId="50">
    <w:name w:val="6.表题图题"/>
    <w:basedOn w:val="1"/>
    <w:link w:val="52"/>
    <w:qFormat/>
    <w:uiPriority w:val="0"/>
    <w:pPr>
      <w:adjustRightInd w:val="0"/>
      <w:snapToGrid w:val="0"/>
      <w:spacing w:before="120" w:after="120"/>
      <w:jc w:val="center"/>
    </w:pPr>
    <w:rPr>
      <w:rFonts w:ascii="宋体" w:hAnsi="宋体"/>
      <w:kern w:val="0"/>
      <w:sz w:val="20"/>
      <w:szCs w:val="22"/>
    </w:rPr>
  </w:style>
  <w:style w:type="character" w:customStyle="1" w:styleId="51">
    <w:name w:val="4.三级标题 字符"/>
    <w:link w:val="49"/>
    <w:qFormat/>
    <w:uiPriority w:val="0"/>
    <w:rPr>
      <w:rFonts w:ascii="宋体" w:hAnsi="宋体"/>
      <w:b/>
      <w:sz w:val="24"/>
      <w:szCs w:val="24"/>
    </w:rPr>
  </w:style>
  <w:style w:type="character" w:customStyle="1" w:styleId="52">
    <w:name w:val="6.表题图题 字符"/>
    <w:link w:val="50"/>
    <w:qFormat/>
    <w:uiPriority w:val="0"/>
    <w:rPr>
      <w:rFonts w:ascii="宋体" w:hAnsi="宋体"/>
      <w:szCs w:val="22"/>
    </w:rPr>
  </w:style>
  <w:style w:type="character" w:customStyle="1" w:styleId="53">
    <w:name w:val="正文文本缩进 字符"/>
    <w:basedOn w:val="23"/>
    <w:link w:val="11"/>
    <w:qFormat/>
    <w:uiPriority w:val="0"/>
    <w:rPr>
      <w:kern w:val="2"/>
      <w:sz w:val="21"/>
      <w:szCs w:val="21"/>
    </w:rPr>
  </w:style>
  <w:style w:type="character" w:customStyle="1" w:styleId="54">
    <w:name w:val="正文首行缩进 2 字符"/>
    <w:basedOn w:val="53"/>
    <w:link w:val="20"/>
    <w:qFormat/>
    <w:uiPriority w:val="0"/>
    <w:rPr>
      <w:rFonts w:ascii="Times New Roman" w:hAnsi="Times New Roman"/>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F57F1-FE34-4EA0-AC14-DDBB7DDFF2EB}">
  <ds:schemaRefs/>
</ds:datastoreItem>
</file>

<file path=docProps/app.xml><?xml version="1.0" encoding="utf-8"?>
<Properties xmlns="http://schemas.openxmlformats.org/officeDocument/2006/extended-properties" xmlns:vt="http://schemas.openxmlformats.org/officeDocument/2006/docPropsVTypes">
  <Template>Normal</Template>
  <Pages>1</Pages>
  <Words>10649</Words>
  <Characters>60705</Characters>
  <Lines>505</Lines>
  <Paragraphs>142</Paragraphs>
  <TotalTime>886</TotalTime>
  <ScaleCrop>false</ScaleCrop>
  <LinksUpToDate>false</LinksUpToDate>
  <CharactersWithSpaces>71212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2017-11-22T08:08:00Z</dcterms:created>
  <dc:creator>dakulayu</dc:creator>
  <cp:lastModifiedBy>王威威</cp:lastModifiedBy>
  <cp:lastPrinted>2017-12-14T09:56:00Z</cp:lastPrinted>
  <dcterms:modified xsi:type="dcterms:W3CDTF">2023-10-19T12:18:45Z</dcterms:modified>
  <dc:title>招标技术要求</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AD15E1235B184FAEA05F10BB957AB6F9</vt:lpwstr>
  </property>
</Properties>
</file>